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EDD9" w14:textId="77777777" w:rsidR="008F611A" w:rsidRDefault="008F611A" w:rsidP="008F611A">
      <w:pPr>
        <w:spacing w:after="0" w:line="240" w:lineRule="auto"/>
        <w:rPr>
          <w:rFonts w:ascii="Times New Roman" w:hAnsi="Times New Roman" w:cs="Times New Roman"/>
          <w:b/>
          <w:sz w:val="32"/>
          <w:szCs w:val="32"/>
        </w:rPr>
      </w:pPr>
    </w:p>
    <w:p w14:paraId="318FD94F" w14:textId="77777777" w:rsidR="008F611A" w:rsidRDefault="008F611A" w:rsidP="008F611A">
      <w:pPr>
        <w:spacing w:after="0" w:line="240" w:lineRule="auto"/>
        <w:rPr>
          <w:rFonts w:ascii="Times New Roman" w:hAnsi="Times New Roman" w:cs="Times New Roman"/>
          <w:b/>
          <w:sz w:val="32"/>
          <w:szCs w:val="32"/>
        </w:rPr>
      </w:pPr>
    </w:p>
    <w:p w14:paraId="1F858625" w14:textId="77777777" w:rsidR="008F611A" w:rsidRDefault="008F611A" w:rsidP="008F611A">
      <w:pPr>
        <w:spacing w:after="0" w:line="240" w:lineRule="auto"/>
        <w:rPr>
          <w:rFonts w:ascii="Times New Roman" w:hAnsi="Times New Roman" w:cs="Times New Roman"/>
          <w:b/>
          <w:sz w:val="32"/>
          <w:szCs w:val="32"/>
        </w:rPr>
      </w:pPr>
    </w:p>
    <w:p w14:paraId="77E4D5B5" w14:textId="77777777" w:rsidR="008F611A" w:rsidRDefault="008F611A" w:rsidP="008F611A">
      <w:pPr>
        <w:spacing w:after="0" w:line="240" w:lineRule="auto"/>
        <w:rPr>
          <w:rFonts w:ascii="Times New Roman" w:hAnsi="Times New Roman" w:cs="Times New Roman"/>
          <w:b/>
          <w:sz w:val="32"/>
          <w:szCs w:val="32"/>
        </w:rPr>
      </w:pPr>
    </w:p>
    <w:p w14:paraId="6A681E7A" w14:textId="77777777" w:rsidR="008F611A" w:rsidRDefault="008F611A" w:rsidP="008F611A">
      <w:pPr>
        <w:spacing w:after="0" w:line="240" w:lineRule="auto"/>
        <w:rPr>
          <w:rFonts w:ascii="Times New Roman" w:hAnsi="Times New Roman" w:cs="Times New Roman"/>
          <w:b/>
          <w:sz w:val="32"/>
          <w:szCs w:val="32"/>
        </w:rPr>
      </w:pPr>
    </w:p>
    <w:p w14:paraId="6192F036" w14:textId="77777777" w:rsidR="008F611A" w:rsidRDefault="008F611A" w:rsidP="008F611A">
      <w:pPr>
        <w:spacing w:after="0" w:line="240" w:lineRule="auto"/>
        <w:rPr>
          <w:rFonts w:ascii="Times New Roman" w:hAnsi="Times New Roman" w:cs="Times New Roman"/>
          <w:b/>
          <w:sz w:val="32"/>
          <w:szCs w:val="32"/>
        </w:rPr>
      </w:pPr>
    </w:p>
    <w:p w14:paraId="6AF96FEF" w14:textId="2AC47B35" w:rsidR="008B05D1" w:rsidRDefault="008B05D1">
      <w:pPr>
        <w:rPr>
          <w:rFonts w:ascii="Times New Roman" w:hAnsi="Times New Roman" w:cs="Times New Roman"/>
          <w:b/>
          <w:sz w:val="32"/>
          <w:szCs w:val="32"/>
        </w:rPr>
      </w:pPr>
      <w:r w:rsidRPr="008B05D1">
        <w:rPr>
          <w:rFonts w:ascii="Times New Roman" w:hAnsi="Times New Roman" w:cs="Times New Roman"/>
          <w:b/>
          <w:sz w:val="32"/>
          <w:szCs w:val="32"/>
        </w:rPr>
        <w:t xml:space="preserve">Dataset on the association between </w:t>
      </w:r>
      <w:r w:rsidR="004668AC">
        <w:rPr>
          <w:rFonts w:ascii="Times New Roman" w:hAnsi="Times New Roman" w:cs="Times New Roman"/>
          <w:b/>
          <w:sz w:val="32"/>
          <w:szCs w:val="32"/>
        </w:rPr>
        <w:t>unilateral and UN</w:t>
      </w:r>
      <w:r w:rsidRPr="008B05D1">
        <w:rPr>
          <w:rFonts w:ascii="Times New Roman" w:hAnsi="Times New Roman" w:cs="Times New Roman"/>
          <w:b/>
          <w:sz w:val="32"/>
          <w:szCs w:val="32"/>
        </w:rPr>
        <w:t xml:space="preserve"> operations and the number of fatalities of organised violence </w:t>
      </w:r>
    </w:p>
    <w:p w14:paraId="1B2BBB66" w14:textId="0834C1BF" w:rsidR="00CF2530" w:rsidRPr="008F611A" w:rsidRDefault="008F611A">
      <w:pPr>
        <w:rPr>
          <w:rFonts w:ascii="Times New Roman" w:hAnsi="Times New Roman" w:cs="Times New Roman"/>
          <w:sz w:val="24"/>
          <w:szCs w:val="24"/>
        </w:rPr>
      </w:pPr>
      <w:r w:rsidRPr="008F611A">
        <w:rPr>
          <w:rFonts w:ascii="Times New Roman" w:hAnsi="Times New Roman" w:cs="Times New Roman"/>
          <w:sz w:val="24"/>
          <w:szCs w:val="24"/>
        </w:rPr>
        <w:t>Codebook</w:t>
      </w:r>
    </w:p>
    <w:p w14:paraId="356D32E9" w14:textId="77777777" w:rsidR="008F611A" w:rsidRDefault="008F611A">
      <w:pPr>
        <w:rPr>
          <w:rFonts w:ascii="Times New Roman" w:hAnsi="Times New Roman" w:cs="Times New Roman"/>
          <w:sz w:val="24"/>
          <w:szCs w:val="24"/>
        </w:rPr>
      </w:pPr>
    </w:p>
    <w:p w14:paraId="6E04A193" w14:textId="77777777" w:rsidR="008F611A" w:rsidRDefault="008F611A">
      <w:pPr>
        <w:rPr>
          <w:rFonts w:ascii="Times New Roman" w:hAnsi="Times New Roman" w:cs="Times New Roman"/>
          <w:sz w:val="24"/>
          <w:szCs w:val="24"/>
        </w:rPr>
      </w:pPr>
    </w:p>
    <w:p w14:paraId="131F7A3D" w14:textId="77777777" w:rsidR="008F611A" w:rsidRDefault="008F611A">
      <w:pPr>
        <w:rPr>
          <w:rFonts w:ascii="Times New Roman" w:hAnsi="Times New Roman" w:cs="Times New Roman"/>
          <w:sz w:val="24"/>
          <w:szCs w:val="24"/>
        </w:rPr>
      </w:pPr>
    </w:p>
    <w:p w14:paraId="7723B617" w14:textId="636B6FA7" w:rsidR="008F611A" w:rsidRDefault="008F611A">
      <w:pPr>
        <w:rPr>
          <w:rFonts w:ascii="Times New Roman" w:hAnsi="Times New Roman" w:cs="Times New Roman"/>
          <w:sz w:val="24"/>
          <w:szCs w:val="24"/>
        </w:rPr>
      </w:pPr>
      <w:r>
        <w:rPr>
          <w:rFonts w:ascii="Times New Roman" w:hAnsi="Times New Roman" w:cs="Times New Roman"/>
          <w:sz w:val="24"/>
          <w:szCs w:val="24"/>
        </w:rPr>
        <w:t>Authored by: Timo Kivimäki</w:t>
      </w:r>
    </w:p>
    <w:p w14:paraId="637E65E2" w14:textId="149AFC9A" w:rsidR="00F96D6D" w:rsidRDefault="00F96D6D" w:rsidP="00F96D6D">
      <w:pPr>
        <w:rPr>
          <w:rFonts w:ascii="Times New Roman" w:hAnsi="Times New Roman" w:cs="Times New Roman"/>
          <w:sz w:val="24"/>
          <w:szCs w:val="24"/>
        </w:rPr>
      </w:pPr>
      <w:r>
        <w:rPr>
          <w:rFonts w:ascii="Times New Roman" w:hAnsi="Times New Roman" w:cs="Times New Roman"/>
          <w:sz w:val="24"/>
          <w:szCs w:val="24"/>
        </w:rPr>
        <w:t>Data extracted on 2023-4-01</w:t>
      </w:r>
    </w:p>
    <w:p w14:paraId="11F70C1B" w14:textId="39A121C5" w:rsidR="008F611A" w:rsidRDefault="008F611A">
      <w:pPr>
        <w:rPr>
          <w:rFonts w:ascii="Times New Roman" w:hAnsi="Times New Roman" w:cs="Times New Roman"/>
          <w:sz w:val="24"/>
          <w:szCs w:val="24"/>
        </w:rPr>
      </w:pPr>
    </w:p>
    <w:p w14:paraId="75995177" w14:textId="15D72656" w:rsidR="008F611A" w:rsidRDefault="008F611A">
      <w:pPr>
        <w:rPr>
          <w:rFonts w:ascii="Times New Roman" w:hAnsi="Times New Roman" w:cs="Times New Roman"/>
          <w:sz w:val="24"/>
          <w:szCs w:val="24"/>
        </w:rPr>
      </w:pPr>
    </w:p>
    <w:p w14:paraId="79E67E7D" w14:textId="77777777" w:rsidR="008F611A" w:rsidRDefault="008F611A">
      <w:pPr>
        <w:rPr>
          <w:rFonts w:ascii="Times New Roman" w:hAnsi="Times New Roman" w:cs="Times New Roman"/>
          <w:sz w:val="24"/>
          <w:szCs w:val="24"/>
        </w:rPr>
      </w:pPr>
    </w:p>
    <w:p w14:paraId="5F8C6EFE" w14:textId="16538856" w:rsidR="008F611A" w:rsidRDefault="008F611A">
      <w:pPr>
        <w:rPr>
          <w:rFonts w:ascii="Times New Roman" w:hAnsi="Times New Roman" w:cs="Times New Roman"/>
          <w:sz w:val="24"/>
          <w:szCs w:val="24"/>
        </w:rPr>
      </w:pPr>
      <w:r>
        <w:rPr>
          <w:rFonts w:ascii="Times New Roman" w:hAnsi="Times New Roman" w:cs="Times New Roman"/>
          <w:sz w:val="24"/>
          <w:szCs w:val="24"/>
        </w:rPr>
        <w:t xml:space="preserve">When citing this dataset, please always cite: </w:t>
      </w:r>
    </w:p>
    <w:p w14:paraId="0FFBC3E2" w14:textId="77777777" w:rsidR="008F611A" w:rsidRDefault="008F611A" w:rsidP="008F611A">
      <w:pPr>
        <w:spacing w:after="0" w:line="240" w:lineRule="auto"/>
        <w:rPr>
          <w:rFonts w:ascii="Times New Roman" w:eastAsia="Times New Roman" w:hAnsi="Times New Roman" w:cs="Times New Roman"/>
          <w:sz w:val="24"/>
          <w:szCs w:val="24"/>
          <w:lang w:eastAsia="en-GB"/>
        </w:rPr>
      </w:pPr>
    </w:p>
    <w:p w14:paraId="3B903CCF" w14:textId="79851656" w:rsidR="00573CF2" w:rsidRPr="00573CF2" w:rsidRDefault="004344D8">
      <w:pPr>
        <w:rPr>
          <w:rFonts w:ascii="Times New Roman" w:hAnsi="Times New Roman" w:cs="Times New Roman"/>
          <w:sz w:val="24"/>
          <w:szCs w:val="24"/>
        </w:rPr>
      </w:pPr>
      <w:bookmarkStart w:id="0" w:name="_Hlk138331894"/>
      <w:r w:rsidRPr="004344D8">
        <w:rPr>
          <w:rFonts w:ascii="Times New Roman" w:hAnsi="Times New Roman" w:cs="Times New Roman"/>
          <w:sz w:val="24"/>
          <w:szCs w:val="24"/>
        </w:rPr>
        <w:t xml:space="preserve">Timo Kivimäki, ‘Whose Conflict Prevention Works: Strong States vs. The Legitimate World Organisation’, in </w:t>
      </w:r>
      <w:r w:rsidRPr="00323313">
        <w:rPr>
          <w:rFonts w:ascii="Times New Roman" w:hAnsi="Times New Roman" w:cs="Times New Roman"/>
          <w:i/>
          <w:iCs/>
          <w:sz w:val="24"/>
          <w:szCs w:val="24"/>
        </w:rPr>
        <w:t>Research Handbook o</w:t>
      </w:r>
      <w:r w:rsidR="00CF7A48">
        <w:rPr>
          <w:rFonts w:ascii="Times New Roman" w:hAnsi="Times New Roman" w:cs="Times New Roman"/>
          <w:i/>
          <w:iCs/>
          <w:sz w:val="24"/>
          <w:szCs w:val="24"/>
        </w:rPr>
        <w:t>n</w:t>
      </w:r>
      <w:r w:rsidRPr="00323313">
        <w:rPr>
          <w:rFonts w:ascii="Times New Roman" w:hAnsi="Times New Roman" w:cs="Times New Roman"/>
          <w:i/>
          <w:iCs/>
          <w:sz w:val="24"/>
          <w:szCs w:val="24"/>
        </w:rPr>
        <w:t xml:space="preserve"> Conflict Prevention</w:t>
      </w:r>
      <w:r w:rsidRPr="004344D8">
        <w:rPr>
          <w:rFonts w:ascii="Times New Roman" w:hAnsi="Times New Roman" w:cs="Times New Roman"/>
          <w:sz w:val="24"/>
          <w:szCs w:val="24"/>
        </w:rPr>
        <w:t>,</w:t>
      </w:r>
      <w:r w:rsidR="00CF7A48" w:rsidRPr="00CF7A48">
        <w:t xml:space="preserve"> </w:t>
      </w:r>
      <w:r w:rsidR="00CF7A48" w:rsidRPr="00CF7A48">
        <w:rPr>
          <w:rFonts w:ascii="Times New Roman" w:hAnsi="Times New Roman" w:cs="Times New Roman"/>
          <w:sz w:val="24"/>
          <w:szCs w:val="24"/>
        </w:rPr>
        <w:t>Elgar Handbooks in Political Science series</w:t>
      </w:r>
      <w:r w:rsidR="00CF7A48">
        <w:rPr>
          <w:rFonts w:ascii="Times New Roman" w:hAnsi="Times New Roman" w:cs="Times New Roman"/>
          <w:sz w:val="24"/>
          <w:szCs w:val="24"/>
        </w:rPr>
        <w:t>.</w:t>
      </w:r>
      <w:r w:rsidRPr="004344D8">
        <w:rPr>
          <w:rFonts w:ascii="Times New Roman" w:hAnsi="Times New Roman" w:cs="Times New Roman"/>
          <w:sz w:val="24"/>
          <w:szCs w:val="24"/>
        </w:rPr>
        <w:t xml:space="preserve"> ed. </w:t>
      </w:r>
      <w:r>
        <w:rPr>
          <w:rFonts w:ascii="Times New Roman" w:hAnsi="Times New Roman" w:cs="Times New Roman"/>
          <w:sz w:val="24"/>
          <w:szCs w:val="24"/>
        </w:rPr>
        <w:t xml:space="preserve">by </w:t>
      </w:r>
      <w:r w:rsidRPr="004344D8">
        <w:rPr>
          <w:rFonts w:ascii="Times New Roman" w:hAnsi="Times New Roman" w:cs="Times New Roman"/>
          <w:sz w:val="24"/>
          <w:szCs w:val="24"/>
        </w:rPr>
        <w:t>Timo Kivimäki (Cheltenham, UK: Edward Elgar Publishing, 2024)</w:t>
      </w:r>
      <w:r>
        <w:rPr>
          <w:rFonts w:ascii="Times New Roman" w:hAnsi="Times New Roman" w:cs="Times New Roman"/>
          <w:sz w:val="24"/>
          <w:szCs w:val="24"/>
        </w:rPr>
        <w:t>.</w:t>
      </w:r>
    </w:p>
    <w:bookmarkEnd w:id="0"/>
    <w:p w14:paraId="307B65C2" w14:textId="77777777" w:rsidR="007A1318" w:rsidRDefault="007A1318">
      <w:pPr>
        <w:rPr>
          <w:rFonts w:ascii="Times New Roman" w:hAnsi="Times New Roman" w:cs="Times New Roman"/>
          <w:sz w:val="24"/>
          <w:szCs w:val="24"/>
        </w:rPr>
      </w:pPr>
    </w:p>
    <w:p w14:paraId="46A7CE67" w14:textId="39EF8E24" w:rsidR="008F611A" w:rsidRDefault="008B4E07">
      <w:pPr>
        <w:rPr>
          <w:rFonts w:ascii="Times New Roman" w:hAnsi="Times New Roman" w:cs="Times New Roman"/>
          <w:sz w:val="24"/>
          <w:szCs w:val="24"/>
        </w:rPr>
      </w:pPr>
      <w:r>
        <w:rPr>
          <w:rFonts w:ascii="Times New Roman" w:hAnsi="Times New Roman" w:cs="Times New Roman"/>
          <w:sz w:val="24"/>
          <w:szCs w:val="24"/>
        </w:rPr>
        <w:t xml:space="preserve">And </w:t>
      </w:r>
    </w:p>
    <w:p w14:paraId="72557D01" w14:textId="4345BBF0" w:rsidR="008B4E07" w:rsidRDefault="00323313">
      <w:pPr>
        <w:rPr>
          <w:rFonts w:ascii="Times New Roman" w:hAnsi="Times New Roman" w:cs="Times New Roman"/>
          <w:sz w:val="24"/>
          <w:szCs w:val="24"/>
        </w:rPr>
      </w:pPr>
      <w:r w:rsidRPr="00B369AF">
        <w:rPr>
          <w:rFonts w:ascii="Times New Roman" w:hAnsi="Times New Roman" w:cs="Times New Roman"/>
          <w:i/>
          <w:iCs/>
          <w:sz w:val="24"/>
          <w:szCs w:val="24"/>
        </w:rPr>
        <w:t>Dataset on the association between unilateral and UN operations and the number of fatalities of organised violence</w:t>
      </w:r>
      <w:r w:rsidR="00B369AF">
        <w:rPr>
          <w:rFonts w:ascii="Times New Roman" w:hAnsi="Times New Roman" w:cs="Times New Roman"/>
          <w:sz w:val="24"/>
          <w:szCs w:val="24"/>
        </w:rPr>
        <w:t>. Research Data Archive of the University of Bath,</w:t>
      </w:r>
      <w:r w:rsidRPr="00323313">
        <w:rPr>
          <w:rFonts w:ascii="Times New Roman" w:hAnsi="Times New Roman" w:cs="Times New Roman"/>
          <w:sz w:val="24"/>
          <w:szCs w:val="24"/>
        </w:rPr>
        <w:t xml:space="preserve"> </w:t>
      </w:r>
      <w:r w:rsidR="00CF7A48" w:rsidRPr="00CF7A48">
        <w:rPr>
          <w:rFonts w:ascii="Times New Roman" w:hAnsi="Times New Roman" w:cs="Times New Roman"/>
          <w:sz w:val="24"/>
          <w:szCs w:val="24"/>
        </w:rPr>
        <w:t>https://researchdata.bath.ac.uk/id/eprint/1293</w:t>
      </w:r>
      <w:r w:rsidR="00CF7A48" w:rsidRPr="00CF7A48">
        <w:rPr>
          <w:rFonts w:ascii="Times New Roman" w:hAnsi="Times New Roman" w:cs="Times New Roman"/>
          <w:sz w:val="24"/>
          <w:szCs w:val="24"/>
        </w:rPr>
        <w:t xml:space="preserve"> </w:t>
      </w:r>
      <w:r w:rsidR="000C16A4" w:rsidRPr="000C16A4">
        <w:rPr>
          <w:rFonts w:ascii="Times New Roman" w:hAnsi="Times New Roman" w:cs="Times New Roman"/>
          <w:sz w:val="24"/>
          <w:szCs w:val="24"/>
        </w:rPr>
        <w:t>(for the data itself)</w:t>
      </w:r>
    </w:p>
    <w:p w14:paraId="39ACB7AE" w14:textId="77777777" w:rsidR="00037A6A" w:rsidRDefault="00037A6A">
      <w:pPr>
        <w:rPr>
          <w:rFonts w:ascii="Times New Roman" w:hAnsi="Times New Roman" w:cs="Times New Roman"/>
          <w:sz w:val="24"/>
          <w:szCs w:val="24"/>
        </w:rPr>
      </w:pPr>
      <w:r>
        <w:rPr>
          <w:rFonts w:ascii="Times New Roman" w:hAnsi="Times New Roman" w:cs="Times New Roman"/>
          <w:sz w:val="24"/>
          <w:szCs w:val="24"/>
        </w:rPr>
        <w:t>And</w:t>
      </w:r>
    </w:p>
    <w:p w14:paraId="591F0507" w14:textId="2277DBEC" w:rsidR="008F611A" w:rsidRDefault="00037A6A">
      <w:pPr>
        <w:rPr>
          <w:rFonts w:ascii="Times New Roman" w:hAnsi="Times New Roman" w:cs="Times New Roman"/>
          <w:sz w:val="24"/>
          <w:szCs w:val="24"/>
        </w:rPr>
      </w:pPr>
      <w:r w:rsidRPr="00037A6A">
        <w:rPr>
          <w:rFonts w:ascii="Times New Roman" w:hAnsi="Times New Roman" w:cs="Times New Roman"/>
          <w:sz w:val="24"/>
          <w:szCs w:val="24"/>
        </w:rPr>
        <w:t xml:space="preserve">Shawn Davies, </w:t>
      </w:r>
      <w:proofErr w:type="spellStart"/>
      <w:r w:rsidRPr="00037A6A">
        <w:rPr>
          <w:rFonts w:ascii="Times New Roman" w:hAnsi="Times New Roman" w:cs="Times New Roman"/>
          <w:sz w:val="24"/>
          <w:szCs w:val="24"/>
        </w:rPr>
        <w:t>Therése</w:t>
      </w:r>
      <w:proofErr w:type="spellEnd"/>
      <w:r w:rsidRPr="00037A6A">
        <w:rPr>
          <w:rFonts w:ascii="Times New Roman" w:hAnsi="Times New Roman" w:cs="Times New Roman"/>
          <w:sz w:val="24"/>
          <w:szCs w:val="24"/>
        </w:rPr>
        <w:t xml:space="preserve"> </w:t>
      </w:r>
      <w:proofErr w:type="spellStart"/>
      <w:r w:rsidRPr="00037A6A">
        <w:rPr>
          <w:rFonts w:ascii="Times New Roman" w:hAnsi="Times New Roman" w:cs="Times New Roman"/>
          <w:sz w:val="24"/>
          <w:szCs w:val="24"/>
        </w:rPr>
        <w:t>Pettersson</w:t>
      </w:r>
      <w:proofErr w:type="spellEnd"/>
      <w:r w:rsidRPr="00037A6A">
        <w:rPr>
          <w:rFonts w:ascii="Times New Roman" w:hAnsi="Times New Roman" w:cs="Times New Roman"/>
          <w:sz w:val="24"/>
          <w:szCs w:val="24"/>
        </w:rPr>
        <w:t xml:space="preserve">, and Magnus </w:t>
      </w:r>
      <w:proofErr w:type="spellStart"/>
      <w:r w:rsidRPr="00037A6A">
        <w:rPr>
          <w:rFonts w:ascii="Times New Roman" w:hAnsi="Times New Roman" w:cs="Times New Roman"/>
          <w:sz w:val="24"/>
          <w:szCs w:val="24"/>
        </w:rPr>
        <w:t>Öberg</w:t>
      </w:r>
      <w:proofErr w:type="spellEnd"/>
      <w:r w:rsidRPr="00037A6A">
        <w:rPr>
          <w:rFonts w:ascii="Times New Roman" w:hAnsi="Times New Roman" w:cs="Times New Roman"/>
          <w:sz w:val="24"/>
          <w:szCs w:val="24"/>
        </w:rPr>
        <w:t xml:space="preserve">, ‘Organized Violence 1989–2021 and Drone Warfare’, Journal of Peace Research 59, no. 4 (1 July 2022): 593–610, </w:t>
      </w:r>
      <w:hyperlink r:id="rId8" w:history="1">
        <w:r w:rsidRPr="00DE6F7E">
          <w:rPr>
            <w:rStyle w:val="Hyperlink"/>
            <w:rFonts w:ascii="Times New Roman" w:hAnsi="Times New Roman" w:cs="Times New Roman"/>
            <w:sz w:val="24"/>
            <w:szCs w:val="24"/>
          </w:rPr>
          <w:t>https://doi.org/10.1177/00223433221108428</w:t>
        </w:r>
      </w:hyperlink>
      <w:r w:rsidRPr="00037A6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data on fatalities of organised violence).</w:t>
      </w:r>
      <w:r w:rsidR="008F611A">
        <w:rPr>
          <w:rFonts w:ascii="Times New Roman" w:hAnsi="Times New Roman" w:cs="Times New Roman"/>
          <w:sz w:val="24"/>
          <w:szCs w:val="24"/>
        </w:rPr>
        <w:br w:type="page"/>
      </w:r>
    </w:p>
    <w:p w14:paraId="5F5486BF" w14:textId="691FB0F1" w:rsidR="000D4E06" w:rsidRPr="000D4E06" w:rsidRDefault="000D4E06" w:rsidP="000D4E06">
      <w:pPr>
        <w:pStyle w:val="Heading1"/>
        <w:rPr>
          <w:rFonts w:ascii="Times New Roman" w:hAnsi="Times New Roman" w:cs="Times New Roman"/>
        </w:rPr>
      </w:pPr>
      <w:r w:rsidRPr="000D4E06">
        <w:rPr>
          <w:rFonts w:ascii="Times New Roman" w:hAnsi="Times New Roman" w:cs="Times New Roman"/>
        </w:rPr>
        <w:lastRenderedPageBreak/>
        <w:t>Nature of the Data</w:t>
      </w:r>
    </w:p>
    <w:p w14:paraId="759A137E" w14:textId="5313B1CA" w:rsidR="00DA11A6" w:rsidRDefault="000D4E06" w:rsidP="00B755A8">
      <w:pPr>
        <w:rPr>
          <w:rFonts w:ascii="Times New Roman" w:hAnsi="Times New Roman" w:cs="Times New Roman"/>
          <w:sz w:val="24"/>
          <w:szCs w:val="24"/>
        </w:rPr>
      </w:pPr>
      <w:r w:rsidRPr="000D4E06">
        <w:rPr>
          <w:rFonts w:ascii="Times New Roman" w:hAnsi="Times New Roman" w:cs="Times New Roman"/>
          <w:sz w:val="24"/>
          <w:szCs w:val="24"/>
        </w:rPr>
        <w:t xml:space="preserve">This dataset is </w:t>
      </w:r>
      <w:r w:rsidR="00BA71B3">
        <w:rPr>
          <w:rFonts w:ascii="Times New Roman" w:hAnsi="Times New Roman" w:cs="Times New Roman"/>
          <w:sz w:val="24"/>
          <w:szCs w:val="24"/>
        </w:rPr>
        <w:t xml:space="preserve">created for the study of the association between </w:t>
      </w:r>
      <w:r w:rsidR="00E0434C">
        <w:rPr>
          <w:rFonts w:ascii="Times New Roman" w:hAnsi="Times New Roman" w:cs="Times New Roman"/>
          <w:sz w:val="24"/>
          <w:szCs w:val="24"/>
        </w:rPr>
        <w:t>unilateral and UN operations</w:t>
      </w:r>
      <w:r w:rsidR="00BA71B3">
        <w:rPr>
          <w:rFonts w:ascii="Times New Roman" w:hAnsi="Times New Roman" w:cs="Times New Roman"/>
          <w:sz w:val="24"/>
          <w:szCs w:val="24"/>
        </w:rPr>
        <w:t xml:space="preserve"> and </w:t>
      </w:r>
      <w:r w:rsidR="00232E37">
        <w:rPr>
          <w:rFonts w:ascii="Times New Roman" w:hAnsi="Times New Roman" w:cs="Times New Roman"/>
          <w:sz w:val="24"/>
          <w:szCs w:val="24"/>
        </w:rPr>
        <w:t>fatalities of organised violence. It links fatalit</w:t>
      </w:r>
      <w:r w:rsidR="00FC1682">
        <w:rPr>
          <w:rFonts w:ascii="Times New Roman" w:hAnsi="Times New Roman" w:cs="Times New Roman"/>
          <w:sz w:val="24"/>
          <w:szCs w:val="24"/>
        </w:rPr>
        <w:t>y</w:t>
      </w:r>
      <w:r w:rsidR="00232E37">
        <w:rPr>
          <w:rFonts w:ascii="Times New Roman" w:hAnsi="Times New Roman" w:cs="Times New Roman"/>
          <w:sz w:val="24"/>
          <w:szCs w:val="24"/>
        </w:rPr>
        <w:t xml:space="preserve"> statistics from Uppsala Conflict Data Program</w:t>
      </w:r>
      <w:r w:rsidR="00336776">
        <w:rPr>
          <w:rStyle w:val="FootnoteReference"/>
          <w:rFonts w:ascii="Times New Roman" w:hAnsi="Times New Roman" w:cs="Times New Roman"/>
          <w:sz w:val="24"/>
          <w:szCs w:val="24"/>
        </w:rPr>
        <w:footnoteReference w:id="1"/>
      </w:r>
      <w:r w:rsidR="00336776">
        <w:rPr>
          <w:rFonts w:ascii="Times New Roman" w:hAnsi="Times New Roman" w:cs="Times New Roman"/>
          <w:sz w:val="24"/>
          <w:szCs w:val="24"/>
        </w:rPr>
        <w:t xml:space="preserve"> </w:t>
      </w:r>
      <w:r w:rsidR="00BE3F46">
        <w:rPr>
          <w:rFonts w:ascii="Times New Roman" w:hAnsi="Times New Roman" w:cs="Times New Roman"/>
          <w:sz w:val="24"/>
          <w:szCs w:val="24"/>
        </w:rPr>
        <w:t xml:space="preserve">to data on UN peacekeeping operations and unilateral </w:t>
      </w:r>
      <w:r w:rsidR="00850DDB">
        <w:rPr>
          <w:rFonts w:ascii="Times New Roman" w:hAnsi="Times New Roman" w:cs="Times New Roman"/>
          <w:sz w:val="24"/>
          <w:szCs w:val="24"/>
        </w:rPr>
        <w:t>operations</w:t>
      </w:r>
      <w:r w:rsidR="00BE3F46">
        <w:rPr>
          <w:rFonts w:ascii="Times New Roman" w:hAnsi="Times New Roman" w:cs="Times New Roman"/>
          <w:sz w:val="24"/>
          <w:szCs w:val="24"/>
        </w:rPr>
        <w:t xml:space="preserve"> by great powers (</w:t>
      </w:r>
      <w:r w:rsidR="00B755A8">
        <w:rPr>
          <w:rFonts w:ascii="Times New Roman" w:hAnsi="Times New Roman" w:cs="Times New Roman"/>
          <w:sz w:val="24"/>
          <w:szCs w:val="24"/>
        </w:rPr>
        <w:t xml:space="preserve">UNSC P5). </w:t>
      </w:r>
    </w:p>
    <w:p w14:paraId="4CD545CD" w14:textId="433F8661" w:rsidR="00EB1A96" w:rsidRDefault="00EB1A96" w:rsidP="00DA11A6">
      <w:pPr>
        <w:rPr>
          <w:rFonts w:ascii="Times New Roman" w:hAnsi="Times New Roman" w:cs="Times New Roman"/>
          <w:sz w:val="24"/>
          <w:szCs w:val="24"/>
        </w:rPr>
      </w:pPr>
      <w:r>
        <w:rPr>
          <w:rFonts w:ascii="Times New Roman" w:hAnsi="Times New Roman" w:cs="Times New Roman"/>
          <w:sz w:val="24"/>
          <w:szCs w:val="24"/>
        </w:rPr>
        <w:t xml:space="preserve">Definitions and data </w:t>
      </w:r>
      <w:proofErr w:type="gramStart"/>
      <w:r w:rsidR="00E8614F">
        <w:rPr>
          <w:rFonts w:ascii="Times New Roman" w:hAnsi="Times New Roman" w:cs="Times New Roman"/>
          <w:sz w:val="24"/>
          <w:szCs w:val="24"/>
        </w:rPr>
        <w:t>is</w:t>
      </w:r>
      <w:proofErr w:type="gramEnd"/>
      <w:r w:rsidR="00E8614F">
        <w:rPr>
          <w:rFonts w:ascii="Times New Roman" w:hAnsi="Times New Roman" w:cs="Times New Roman"/>
          <w:sz w:val="24"/>
          <w:szCs w:val="24"/>
        </w:rPr>
        <w:t xml:space="preserve"> further explained and justified in </w:t>
      </w:r>
      <w:r>
        <w:rPr>
          <w:rFonts w:ascii="Times New Roman" w:hAnsi="Times New Roman" w:cs="Times New Roman"/>
          <w:sz w:val="24"/>
          <w:szCs w:val="24"/>
        </w:rPr>
        <w:t xml:space="preserve"> </w:t>
      </w:r>
    </w:p>
    <w:p w14:paraId="2C9F184B" w14:textId="13AEC413" w:rsidR="00FC1682" w:rsidRPr="00573CF2" w:rsidRDefault="00FC1682" w:rsidP="00FC1682">
      <w:pPr>
        <w:rPr>
          <w:rFonts w:ascii="Times New Roman" w:hAnsi="Times New Roman" w:cs="Times New Roman"/>
          <w:sz w:val="24"/>
          <w:szCs w:val="24"/>
        </w:rPr>
      </w:pPr>
      <w:r w:rsidRPr="004344D8">
        <w:rPr>
          <w:rFonts w:ascii="Times New Roman" w:hAnsi="Times New Roman" w:cs="Times New Roman"/>
          <w:sz w:val="24"/>
          <w:szCs w:val="24"/>
        </w:rPr>
        <w:t xml:space="preserve">Timo Kivimäki, ‘Whose Conflict Prevention Works: Strong States vs. The Legitimate World Organisation’, in </w:t>
      </w:r>
      <w:r w:rsidRPr="00323313">
        <w:rPr>
          <w:rFonts w:ascii="Times New Roman" w:hAnsi="Times New Roman" w:cs="Times New Roman"/>
          <w:i/>
          <w:iCs/>
          <w:sz w:val="24"/>
          <w:szCs w:val="24"/>
        </w:rPr>
        <w:t>Research Handbook o</w:t>
      </w:r>
      <w:r w:rsidR="00CF7A48">
        <w:rPr>
          <w:rFonts w:ascii="Times New Roman" w:hAnsi="Times New Roman" w:cs="Times New Roman"/>
          <w:i/>
          <w:iCs/>
          <w:sz w:val="24"/>
          <w:szCs w:val="24"/>
        </w:rPr>
        <w:t>n</w:t>
      </w:r>
      <w:r w:rsidRPr="00323313">
        <w:rPr>
          <w:rFonts w:ascii="Times New Roman" w:hAnsi="Times New Roman" w:cs="Times New Roman"/>
          <w:i/>
          <w:iCs/>
          <w:sz w:val="24"/>
          <w:szCs w:val="24"/>
        </w:rPr>
        <w:t xml:space="preserve"> Conflict Prevention</w:t>
      </w:r>
      <w:r w:rsidRPr="004344D8">
        <w:rPr>
          <w:rFonts w:ascii="Times New Roman" w:hAnsi="Times New Roman" w:cs="Times New Roman"/>
          <w:sz w:val="24"/>
          <w:szCs w:val="24"/>
        </w:rPr>
        <w:t xml:space="preserve">, </w:t>
      </w:r>
      <w:r w:rsidR="00CF7A48" w:rsidRPr="00CF7A48">
        <w:rPr>
          <w:rFonts w:ascii="Times New Roman" w:hAnsi="Times New Roman" w:cs="Times New Roman"/>
          <w:sz w:val="24"/>
          <w:szCs w:val="24"/>
        </w:rPr>
        <w:t xml:space="preserve">Elgar Handbooks in Political Science series. </w:t>
      </w:r>
      <w:r w:rsidRPr="004344D8">
        <w:rPr>
          <w:rFonts w:ascii="Times New Roman" w:hAnsi="Times New Roman" w:cs="Times New Roman"/>
          <w:sz w:val="24"/>
          <w:szCs w:val="24"/>
        </w:rPr>
        <w:t xml:space="preserve">ed. </w:t>
      </w:r>
      <w:r>
        <w:rPr>
          <w:rFonts w:ascii="Times New Roman" w:hAnsi="Times New Roman" w:cs="Times New Roman"/>
          <w:sz w:val="24"/>
          <w:szCs w:val="24"/>
        </w:rPr>
        <w:t xml:space="preserve">by </w:t>
      </w:r>
      <w:r w:rsidRPr="004344D8">
        <w:rPr>
          <w:rFonts w:ascii="Times New Roman" w:hAnsi="Times New Roman" w:cs="Times New Roman"/>
          <w:sz w:val="24"/>
          <w:szCs w:val="24"/>
        </w:rPr>
        <w:t>Timo Kivimäki (Cheltenham, UK: Edward Elgar Publishing, 2024)</w:t>
      </w:r>
      <w:r>
        <w:rPr>
          <w:rFonts w:ascii="Times New Roman" w:hAnsi="Times New Roman" w:cs="Times New Roman"/>
          <w:sz w:val="24"/>
          <w:szCs w:val="24"/>
        </w:rPr>
        <w:t>.</w:t>
      </w:r>
    </w:p>
    <w:p w14:paraId="5E1AB652" w14:textId="77777777" w:rsidR="00AB4522" w:rsidRDefault="00AB4522" w:rsidP="000D4E06">
      <w:pPr>
        <w:pStyle w:val="Heading1"/>
        <w:rPr>
          <w:rFonts w:ascii="Times New Roman" w:hAnsi="Times New Roman" w:cs="Times New Roman"/>
        </w:rPr>
      </w:pPr>
    </w:p>
    <w:p w14:paraId="4FA0CBA2" w14:textId="0ACFB9E1" w:rsidR="008F611A" w:rsidRPr="000D4E06" w:rsidRDefault="000D4E06" w:rsidP="000D4E06">
      <w:pPr>
        <w:pStyle w:val="Heading1"/>
        <w:rPr>
          <w:rFonts w:ascii="Times New Roman" w:hAnsi="Times New Roman" w:cs="Times New Roman"/>
        </w:rPr>
      </w:pPr>
      <w:r>
        <w:rPr>
          <w:rFonts w:ascii="Times New Roman" w:hAnsi="Times New Roman" w:cs="Times New Roman"/>
        </w:rPr>
        <w:t>List of V</w:t>
      </w:r>
      <w:r w:rsidRPr="000D4E06">
        <w:rPr>
          <w:rFonts w:ascii="Times New Roman" w:hAnsi="Times New Roman" w:cs="Times New Roman"/>
        </w:rPr>
        <w:t>ariables</w:t>
      </w:r>
    </w:p>
    <w:p w14:paraId="1E236086" w14:textId="77777777" w:rsidR="000C1299" w:rsidRDefault="006950B8">
      <w:pPr>
        <w:rPr>
          <w:rFonts w:ascii="Times New Roman" w:hAnsi="Times New Roman" w:cs="Times New Roman"/>
          <w:sz w:val="24"/>
          <w:szCs w:val="24"/>
        </w:rPr>
      </w:pPr>
      <w:r>
        <w:rPr>
          <w:rFonts w:ascii="Times New Roman" w:hAnsi="Times New Roman" w:cs="Times New Roman"/>
          <w:sz w:val="24"/>
          <w:szCs w:val="24"/>
        </w:rPr>
        <w:t>c</w:t>
      </w:r>
      <w:r w:rsidR="002E643E">
        <w:rPr>
          <w:rFonts w:ascii="Times New Roman" w:hAnsi="Times New Roman" w:cs="Times New Roman"/>
          <w:sz w:val="24"/>
          <w:szCs w:val="24"/>
        </w:rPr>
        <w:t>ountry</w:t>
      </w:r>
      <w:r>
        <w:rPr>
          <w:rFonts w:ascii="Times New Roman" w:hAnsi="Times New Roman" w:cs="Times New Roman"/>
          <w:sz w:val="24"/>
          <w:szCs w:val="24"/>
        </w:rPr>
        <w:t xml:space="preserve">: </w:t>
      </w:r>
      <w:r w:rsidR="00D21DDE">
        <w:rPr>
          <w:rFonts w:ascii="Times New Roman" w:hAnsi="Times New Roman" w:cs="Times New Roman"/>
          <w:sz w:val="24"/>
          <w:szCs w:val="24"/>
        </w:rPr>
        <w:t>C</w:t>
      </w:r>
      <w:r>
        <w:rPr>
          <w:rFonts w:ascii="Times New Roman" w:hAnsi="Times New Roman" w:cs="Times New Roman"/>
          <w:sz w:val="24"/>
          <w:szCs w:val="24"/>
        </w:rPr>
        <w:t>ountry of fatalities and ICC investigation</w:t>
      </w:r>
      <w:r w:rsidR="000C1299" w:rsidRPr="000C1299">
        <w:rPr>
          <w:rFonts w:ascii="Times New Roman" w:hAnsi="Times New Roman" w:cs="Times New Roman"/>
          <w:sz w:val="24"/>
          <w:szCs w:val="24"/>
        </w:rPr>
        <w:t xml:space="preserve"> </w:t>
      </w:r>
    </w:p>
    <w:p w14:paraId="562114F8" w14:textId="64C519B5" w:rsidR="002E643E" w:rsidRDefault="000C1299">
      <w:pPr>
        <w:rPr>
          <w:rFonts w:ascii="Times New Roman" w:hAnsi="Times New Roman" w:cs="Times New Roman"/>
          <w:sz w:val="24"/>
          <w:szCs w:val="24"/>
        </w:rPr>
      </w:pPr>
      <w:proofErr w:type="spellStart"/>
      <w:r w:rsidRPr="00DE3651">
        <w:rPr>
          <w:rFonts w:ascii="Times New Roman" w:hAnsi="Times New Roman" w:cs="Times New Roman"/>
          <w:sz w:val="24"/>
          <w:szCs w:val="24"/>
        </w:rPr>
        <w:t>country_id</w:t>
      </w:r>
      <w:proofErr w:type="spellEnd"/>
      <w:r>
        <w:rPr>
          <w:rFonts w:ascii="Times New Roman" w:hAnsi="Times New Roman" w:cs="Times New Roman"/>
          <w:sz w:val="24"/>
          <w:szCs w:val="24"/>
        </w:rPr>
        <w:t>: Identification number as given by the UCDP data.</w:t>
      </w:r>
    </w:p>
    <w:p w14:paraId="0EAA081F" w14:textId="2C6E49AA" w:rsidR="00D21DDE" w:rsidRDefault="006950B8">
      <w:pPr>
        <w:rPr>
          <w:rFonts w:ascii="Times New Roman" w:hAnsi="Times New Roman" w:cs="Times New Roman"/>
          <w:sz w:val="24"/>
          <w:szCs w:val="24"/>
        </w:rPr>
      </w:pPr>
      <w:r>
        <w:rPr>
          <w:rFonts w:ascii="Times New Roman" w:hAnsi="Times New Roman" w:cs="Times New Roman"/>
          <w:sz w:val="24"/>
          <w:szCs w:val="24"/>
        </w:rPr>
        <w:t xml:space="preserve">region: </w:t>
      </w:r>
      <w:r w:rsidR="00D21DDE">
        <w:rPr>
          <w:rFonts w:ascii="Times New Roman" w:hAnsi="Times New Roman" w:cs="Times New Roman"/>
          <w:sz w:val="24"/>
          <w:szCs w:val="24"/>
        </w:rPr>
        <w:t>R</w:t>
      </w:r>
      <w:r>
        <w:rPr>
          <w:rFonts w:ascii="Times New Roman" w:hAnsi="Times New Roman" w:cs="Times New Roman"/>
          <w:sz w:val="24"/>
          <w:szCs w:val="24"/>
        </w:rPr>
        <w:t xml:space="preserve">egion as </w:t>
      </w:r>
      <w:r w:rsidR="00DB7068">
        <w:rPr>
          <w:rFonts w:ascii="Times New Roman" w:hAnsi="Times New Roman" w:cs="Times New Roman"/>
          <w:sz w:val="24"/>
          <w:szCs w:val="24"/>
        </w:rPr>
        <w:t>classified in UCDP data.</w:t>
      </w:r>
      <w:r w:rsidR="00312CE4" w:rsidRPr="00312CE4">
        <w:rPr>
          <w:rFonts w:ascii="Times New Roman" w:hAnsi="Times New Roman" w:cs="Times New Roman"/>
          <w:sz w:val="24"/>
          <w:szCs w:val="24"/>
        </w:rPr>
        <w:t xml:space="preserve"> </w:t>
      </w:r>
    </w:p>
    <w:p w14:paraId="3975D2E4" w14:textId="2C95E3C5" w:rsidR="00D21DDE" w:rsidRDefault="00D21DDE">
      <w:pPr>
        <w:rPr>
          <w:rFonts w:ascii="Times New Roman" w:hAnsi="Times New Roman" w:cs="Times New Roman"/>
          <w:sz w:val="24"/>
          <w:szCs w:val="24"/>
        </w:rPr>
      </w:pPr>
      <w:r>
        <w:rPr>
          <w:rFonts w:ascii="Times New Roman" w:hAnsi="Times New Roman" w:cs="Times New Roman"/>
          <w:sz w:val="24"/>
          <w:szCs w:val="24"/>
        </w:rPr>
        <w:t>y</w:t>
      </w:r>
      <w:r w:rsidRPr="00D21DDE">
        <w:rPr>
          <w:rFonts w:ascii="Times New Roman" w:hAnsi="Times New Roman" w:cs="Times New Roman"/>
          <w:sz w:val="24"/>
          <w:szCs w:val="24"/>
        </w:rPr>
        <w:t>ear</w:t>
      </w:r>
      <w:r>
        <w:rPr>
          <w:rFonts w:ascii="Times New Roman" w:hAnsi="Times New Roman" w:cs="Times New Roman"/>
          <w:sz w:val="24"/>
          <w:szCs w:val="24"/>
        </w:rPr>
        <w:t xml:space="preserve">: Year of the </w:t>
      </w:r>
      <w:r w:rsidR="000C1299">
        <w:rPr>
          <w:rFonts w:ascii="Times New Roman" w:hAnsi="Times New Roman" w:cs="Times New Roman"/>
          <w:sz w:val="24"/>
          <w:szCs w:val="24"/>
        </w:rPr>
        <w:t>violent event.</w:t>
      </w:r>
      <w:r>
        <w:rPr>
          <w:rFonts w:ascii="Times New Roman" w:hAnsi="Times New Roman" w:cs="Times New Roman"/>
          <w:sz w:val="24"/>
          <w:szCs w:val="24"/>
        </w:rPr>
        <w:t xml:space="preserve"> </w:t>
      </w:r>
    </w:p>
    <w:p w14:paraId="52F81265" w14:textId="6B2206B7" w:rsidR="006950B8" w:rsidRDefault="00312CE4">
      <w:pPr>
        <w:rPr>
          <w:rFonts w:ascii="Times New Roman" w:hAnsi="Times New Roman" w:cs="Times New Roman"/>
          <w:sz w:val="24"/>
          <w:szCs w:val="24"/>
        </w:rPr>
      </w:pPr>
      <w:proofErr w:type="spellStart"/>
      <w:r w:rsidRPr="00DE3651">
        <w:rPr>
          <w:rFonts w:ascii="Times New Roman" w:hAnsi="Times New Roman" w:cs="Times New Roman"/>
          <w:sz w:val="24"/>
          <w:szCs w:val="24"/>
        </w:rPr>
        <w:t>conflict_name</w:t>
      </w:r>
      <w:proofErr w:type="spellEnd"/>
      <w:r w:rsidR="00D21DDE">
        <w:rPr>
          <w:rFonts w:ascii="Times New Roman" w:hAnsi="Times New Roman" w:cs="Times New Roman"/>
          <w:sz w:val="24"/>
          <w:szCs w:val="24"/>
        </w:rPr>
        <w:t>: name of the conflict as give in UCDP data.</w:t>
      </w:r>
    </w:p>
    <w:p w14:paraId="1AC7F09B" w14:textId="77777777" w:rsidR="000C1299" w:rsidRDefault="000C1299">
      <w:pPr>
        <w:rPr>
          <w:rFonts w:ascii="Times New Roman" w:hAnsi="Times New Roman" w:cs="Times New Roman"/>
          <w:sz w:val="24"/>
          <w:szCs w:val="24"/>
        </w:rPr>
      </w:pPr>
      <w:proofErr w:type="spellStart"/>
      <w:r w:rsidRPr="00DE3651">
        <w:rPr>
          <w:rFonts w:ascii="Times New Roman" w:hAnsi="Times New Roman" w:cs="Times New Roman"/>
          <w:sz w:val="24"/>
          <w:szCs w:val="24"/>
        </w:rPr>
        <w:t>side_a</w:t>
      </w:r>
      <w:proofErr w:type="spellEnd"/>
      <w:r>
        <w:rPr>
          <w:rFonts w:ascii="Times New Roman" w:hAnsi="Times New Roman" w:cs="Times New Roman"/>
          <w:sz w:val="24"/>
          <w:szCs w:val="24"/>
        </w:rPr>
        <w:t>: One of the conflicting parties</w:t>
      </w:r>
      <w:r w:rsidRPr="00DE3651">
        <w:rPr>
          <w:rFonts w:ascii="Times New Roman" w:hAnsi="Times New Roman" w:cs="Times New Roman"/>
          <w:sz w:val="24"/>
          <w:szCs w:val="24"/>
        </w:rPr>
        <w:t xml:space="preserve"> </w:t>
      </w:r>
    </w:p>
    <w:p w14:paraId="77D904C2" w14:textId="77777777" w:rsidR="000C1299" w:rsidRDefault="000C1299">
      <w:pPr>
        <w:rPr>
          <w:rFonts w:ascii="Times New Roman" w:hAnsi="Times New Roman" w:cs="Times New Roman"/>
          <w:sz w:val="24"/>
          <w:szCs w:val="24"/>
        </w:rPr>
      </w:pPr>
      <w:proofErr w:type="spellStart"/>
      <w:r w:rsidRPr="00DE3651">
        <w:rPr>
          <w:rFonts w:ascii="Times New Roman" w:hAnsi="Times New Roman" w:cs="Times New Roman"/>
          <w:sz w:val="24"/>
          <w:szCs w:val="24"/>
        </w:rPr>
        <w:t>side_b</w:t>
      </w:r>
      <w:proofErr w:type="spellEnd"/>
      <w:r>
        <w:rPr>
          <w:rFonts w:ascii="Times New Roman" w:hAnsi="Times New Roman" w:cs="Times New Roman"/>
          <w:sz w:val="24"/>
          <w:szCs w:val="24"/>
        </w:rPr>
        <w:t>: The other conflicting party.</w:t>
      </w:r>
    </w:p>
    <w:p w14:paraId="55E2BA7E" w14:textId="1F9D67D4" w:rsidR="00704B2F" w:rsidRDefault="00704B2F">
      <w:pPr>
        <w:rPr>
          <w:rFonts w:ascii="Times New Roman" w:hAnsi="Times New Roman" w:cs="Times New Roman"/>
          <w:sz w:val="24"/>
          <w:szCs w:val="24"/>
        </w:rPr>
      </w:pPr>
      <w:proofErr w:type="spellStart"/>
      <w:r w:rsidRPr="00DE3651">
        <w:rPr>
          <w:rFonts w:ascii="Times New Roman" w:hAnsi="Times New Roman" w:cs="Times New Roman"/>
          <w:sz w:val="24"/>
          <w:szCs w:val="24"/>
        </w:rPr>
        <w:t>date_start</w:t>
      </w:r>
      <w:proofErr w:type="spellEnd"/>
      <w:r>
        <w:rPr>
          <w:rFonts w:ascii="Times New Roman" w:hAnsi="Times New Roman" w:cs="Times New Roman"/>
          <w:sz w:val="24"/>
          <w:szCs w:val="24"/>
        </w:rPr>
        <w:t>: Start date of a violent episode.</w:t>
      </w:r>
    </w:p>
    <w:p w14:paraId="1787C948" w14:textId="36DAF2FA" w:rsidR="00B15AC3" w:rsidRDefault="009D2C88">
      <w:pPr>
        <w:rPr>
          <w:rFonts w:ascii="Times New Roman" w:hAnsi="Times New Roman" w:cs="Times New Roman"/>
          <w:sz w:val="24"/>
          <w:szCs w:val="24"/>
        </w:rPr>
      </w:pPr>
      <w:proofErr w:type="spellStart"/>
      <w:r w:rsidRPr="009D2C88">
        <w:rPr>
          <w:rFonts w:ascii="Times New Roman" w:hAnsi="Times New Roman" w:cs="Times New Roman"/>
          <w:sz w:val="24"/>
          <w:szCs w:val="24"/>
        </w:rPr>
        <w:t>date_end</w:t>
      </w:r>
      <w:proofErr w:type="spellEnd"/>
      <w:r>
        <w:rPr>
          <w:rFonts w:ascii="Times New Roman" w:hAnsi="Times New Roman" w:cs="Times New Roman"/>
          <w:sz w:val="24"/>
          <w:szCs w:val="24"/>
        </w:rPr>
        <w:t xml:space="preserve">: </w:t>
      </w:r>
      <w:r w:rsidR="00704B2F">
        <w:rPr>
          <w:rFonts w:ascii="Times New Roman" w:hAnsi="Times New Roman" w:cs="Times New Roman"/>
          <w:sz w:val="24"/>
          <w:szCs w:val="24"/>
        </w:rPr>
        <w:t>End</w:t>
      </w:r>
      <w:r w:rsidR="00704B2F" w:rsidRPr="00704B2F">
        <w:rPr>
          <w:rFonts w:ascii="Times New Roman" w:hAnsi="Times New Roman" w:cs="Times New Roman"/>
          <w:sz w:val="24"/>
          <w:szCs w:val="24"/>
        </w:rPr>
        <w:t xml:space="preserve"> date of a violent episode.</w:t>
      </w:r>
    </w:p>
    <w:p w14:paraId="7D14A076" w14:textId="12384ABB" w:rsidR="00850DDB" w:rsidRDefault="00931F24">
      <w:pPr>
        <w:rPr>
          <w:rFonts w:ascii="Times New Roman" w:hAnsi="Times New Roman" w:cs="Times New Roman"/>
          <w:sz w:val="24"/>
          <w:szCs w:val="24"/>
        </w:rPr>
      </w:pPr>
      <w:r>
        <w:rPr>
          <w:rFonts w:ascii="Times New Roman" w:hAnsi="Times New Roman" w:cs="Times New Roman"/>
          <w:sz w:val="24"/>
          <w:szCs w:val="24"/>
        </w:rPr>
        <w:t>b</w:t>
      </w:r>
      <w:r w:rsidRPr="00DE3651">
        <w:rPr>
          <w:rFonts w:ascii="Times New Roman" w:hAnsi="Times New Roman" w:cs="Times New Roman"/>
          <w:sz w:val="24"/>
          <w:szCs w:val="24"/>
        </w:rPr>
        <w:t>est</w:t>
      </w:r>
      <w:r>
        <w:rPr>
          <w:rFonts w:ascii="Times New Roman" w:hAnsi="Times New Roman" w:cs="Times New Roman"/>
          <w:sz w:val="24"/>
          <w:szCs w:val="24"/>
        </w:rPr>
        <w:t xml:space="preserve">: </w:t>
      </w:r>
      <w:bookmarkStart w:id="1" w:name="_Hlk138333471"/>
      <w:r>
        <w:rPr>
          <w:rFonts w:ascii="Times New Roman" w:hAnsi="Times New Roman" w:cs="Times New Roman"/>
          <w:sz w:val="24"/>
          <w:szCs w:val="24"/>
        </w:rPr>
        <w:t>Best estimate of battle deaths caused by this episode.</w:t>
      </w:r>
      <w:bookmarkEnd w:id="1"/>
    </w:p>
    <w:p w14:paraId="6203BBF1" w14:textId="395ED346" w:rsidR="00931F24" w:rsidRDefault="00931F24" w:rsidP="00931F24">
      <w:pPr>
        <w:rPr>
          <w:rFonts w:ascii="Times New Roman" w:hAnsi="Times New Roman" w:cs="Times New Roman"/>
          <w:sz w:val="24"/>
          <w:szCs w:val="24"/>
        </w:rPr>
      </w:pPr>
      <w:proofErr w:type="spellStart"/>
      <w:r w:rsidRPr="00931F24">
        <w:rPr>
          <w:rFonts w:ascii="Times New Roman" w:hAnsi="Times New Roman" w:cs="Times New Roman"/>
          <w:sz w:val="24"/>
          <w:szCs w:val="24"/>
        </w:rPr>
        <w:t>deaths_civilians</w:t>
      </w:r>
      <w:proofErr w:type="spellEnd"/>
      <w:r>
        <w:rPr>
          <w:rFonts w:ascii="Times New Roman" w:hAnsi="Times New Roman" w:cs="Times New Roman"/>
          <w:sz w:val="24"/>
          <w:szCs w:val="24"/>
        </w:rPr>
        <w:t>:</w:t>
      </w:r>
      <w:r w:rsidRPr="00931F24">
        <w:rPr>
          <w:rFonts w:ascii="Times New Roman" w:hAnsi="Times New Roman" w:cs="Times New Roman"/>
          <w:sz w:val="24"/>
          <w:szCs w:val="24"/>
        </w:rPr>
        <w:t xml:space="preserve"> </w:t>
      </w:r>
      <w:proofErr w:type="gramStart"/>
      <w:r w:rsidRPr="00931F24">
        <w:rPr>
          <w:rFonts w:ascii="Times New Roman" w:hAnsi="Times New Roman" w:cs="Times New Roman"/>
          <w:sz w:val="24"/>
          <w:szCs w:val="24"/>
        </w:rPr>
        <w:t>Best</w:t>
      </w:r>
      <w:proofErr w:type="gramEnd"/>
      <w:r w:rsidRPr="00931F24">
        <w:rPr>
          <w:rFonts w:ascii="Times New Roman" w:hAnsi="Times New Roman" w:cs="Times New Roman"/>
          <w:sz w:val="24"/>
          <w:szCs w:val="24"/>
        </w:rPr>
        <w:t xml:space="preserve"> estimate of </w:t>
      </w:r>
      <w:r>
        <w:rPr>
          <w:rFonts w:ascii="Times New Roman" w:hAnsi="Times New Roman" w:cs="Times New Roman"/>
          <w:sz w:val="24"/>
          <w:szCs w:val="24"/>
        </w:rPr>
        <w:t xml:space="preserve">civilian </w:t>
      </w:r>
      <w:r w:rsidRPr="00931F24">
        <w:rPr>
          <w:rFonts w:ascii="Times New Roman" w:hAnsi="Times New Roman" w:cs="Times New Roman"/>
          <w:sz w:val="24"/>
          <w:szCs w:val="24"/>
        </w:rPr>
        <w:t>battle deaths caused by this episode.</w:t>
      </w:r>
    </w:p>
    <w:p w14:paraId="514A4541" w14:textId="77777777" w:rsidR="00850DDB" w:rsidRDefault="00850DDB">
      <w:pPr>
        <w:rPr>
          <w:rFonts w:ascii="Times New Roman" w:hAnsi="Times New Roman" w:cs="Times New Roman"/>
          <w:sz w:val="24"/>
          <w:szCs w:val="24"/>
        </w:rPr>
      </w:pPr>
    </w:p>
    <w:p w14:paraId="23AEB127" w14:textId="2A70D9F7" w:rsidR="00653CB4" w:rsidRDefault="00653CB4" w:rsidP="00653CB4">
      <w:pPr>
        <w:rPr>
          <w:rFonts w:ascii="Times New Roman" w:hAnsi="Times New Roman" w:cs="Times New Roman"/>
          <w:sz w:val="24"/>
          <w:szCs w:val="24"/>
        </w:rPr>
      </w:pPr>
      <w:proofErr w:type="spellStart"/>
      <w:r w:rsidRPr="00DE3651">
        <w:rPr>
          <w:rFonts w:ascii="Times New Roman" w:hAnsi="Times New Roman" w:cs="Times New Roman"/>
          <w:sz w:val="24"/>
          <w:szCs w:val="24"/>
        </w:rPr>
        <w:t>operNr</w:t>
      </w:r>
      <w:proofErr w:type="spellEnd"/>
      <w:r>
        <w:rPr>
          <w:rFonts w:ascii="Times New Roman" w:hAnsi="Times New Roman" w:cs="Times New Roman"/>
          <w:sz w:val="24"/>
          <w:szCs w:val="24"/>
        </w:rPr>
        <w:t xml:space="preserve">: Number of the </w:t>
      </w:r>
      <w:r w:rsidR="000D3CD1">
        <w:rPr>
          <w:rFonts w:ascii="Times New Roman" w:hAnsi="Times New Roman" w:cs="Times New Roman"/>
          <w:sz w:val="24"/>
          <w:szCs w:val="24"/>
        </w:rPr>
        <w:t xml:space="preserve">UN </w:t>
      </w:r>
      <w:r>
        <w:rPr>
          <w:rFonts w:ascii="Times New Roman" w:hAnsi="Times New Roman" w:cs="Times New Roman"/>
          <w:sz w:val="24"/>
          <w:szCs w:val="24"/>
        </w:rPr>
        <w:t xml:space="preserve">operation </w:t>
      </w:r>
      <w:r w:rsidR="000D3CD1">
        <w:rPr>
          <w:rFonts w:ascii="Times New Roman" w:hAnsi="Times New Roman" w:cs="Times New Roman"/>
          <w:sz w:val="24"/>
          <w:szCs w:val="24"/>
        </w:rPr>
        <w:t xml:space="preserve">in this country, </w:t>
      </w:r>
      <w:r>
        <w:rPr>
          <w:rFonts w:ascii="Times New Roman" w:hAnsi="Times New Roman" w:cs="Times New Roman"/>
          <w:sz w:val="24"/>
          <w:szCs w:val="24"/>
        </w:rPr>
        <w:t xml:space="preserve">this </w:t>
      </w:r>
      <w:r w:rsidR="000D3CD1">
        <w:rPr>
          <w:rFonts w:ascii="Times New Roman" w:hAnsi="Times New Roman" w:cs="Times New Roman"/>
          <w:sz w:val="24"/>
          <w:szCs w:val="24"/>
        </w:rPr>
        <w:t>episode took place during</w:t>
      </w:r>
      <w:r w:rsidR="00F33D9C">
        <w:rPr>
          <w:rFonts w:ascii="Times New Roman" w:hAnsi="Times New Roman" w:cs="Times New Roman"/>
          <w:sz w:val="24"/>
          <w:szCs w:val="24"/>
        </w:rPr>
        <w:t>.</w:t>
      </w:r>
    </w:p>
    <w:p w14:paraId="6EADEAF1" w14:textId="68F7EFEA" w:rsidR="00850DDB" w:rsidRDefault="00653CB4">
      <w:pPr>
        <w:rPr>
          <w:rFonts w:ascii="Times New Roman" w:hAnsi="Times New Roman" w:cs="Times New Roman"/>
          <w:sz w:val="24"/>
          <w:szCs w:val="24"/>
        </w:rPr>
      </w:pPr>
      <w:proofErr w:type="spellStart"/>
      <w:r w:rsidRPr="00DE3651">
        <w:rPr>
          <w:rFonts w:ascii="Times New Roman" w:hAnsi="Times New Roman" w:cs="Times New Roman"/>
          <w:sz w:val="24"/>
          <w:szCs w:val="24"/>
        </w:rPr>
        <w:t>pre</w:t>
      </w:r>
      <w:r w:rsidR="0028447E">
        <w:rPr>
          <w:rFonts w:ascii="Times New Roman" w:hAnsi="Times New Roman" w:cs="Times New Roman"/>
          <w:sz w:val="24"/>
          <w:szCs w:val="24"/>
        </w:rPr>
        <w:t>u</w:t>
      </w:r>
      <w:r w:rsidRPr="00DE3651">
        <w:rPr>
          <w:rFonts w:ascii="Times New Roman" w:hAnsi="Times New Roman" w:cs="Times New Roman"/>
          <w:sz w:val="24"/>
          <w:szCs w:val="24"/>
        </w:rPr>
        <w:t>nilat</w:t>
      </w:r>
      <w:proofErr w:type="spellEnd"/>
      <w:r w:rsidR="00CB5500">
        <w:rPr>
          <w:rFonts w:ascii="Times New Roman" w:hAnsi="Times New Roman" w:cs="Times New Roman"/>
          <w:sz w:val="24"/>
          <w:szCs w:val="24"/>
        </w:rPr>
        <w:t xml:space="preserve">: </w:t>
      </w:r>
      <w:r w:rsidRPr="00DE3651">
        <w:rPr>
          <w:rFonts w:ascii="Times New Roman" w:hAnsi="Times New Roman" w:cs="Times New Roman"/>
          <w:sz w:val="24"/>
          <w:szCs w:val="24"/>
        </w:rPr>
        <w:t xml:space="preserve"> </w:t>
      </w:r>
      <w:r w:rsidR="00CB5500" w:rsidRPr="005144DB">
        <w:rPr>
          <w:rFonts w:ascii="Times New Roman" w:hAnsi="Times New Roman" w:cs="Times New Roman"/>
          <w:sz w:val="24"/>
          <w:szCs w:val="24"/>
        </w:rPr>
        <w:t xml:space="preserve">Dummy variable revealing </w:t>
      </w:r>
      <w:proofErr w:type="gramStart"/>
      <w:r w:rsidR="00CB5500" w:rsidRPr="005144DB">
        <w:rPr>
          <w:rFonts w:ascii="Times New Roman" w:hAnsi="Times New Roman" w:cs="Times New Roman"/>
          <w:sz w:val="24"/>
          <w:szCs w:val="24"/>
        </w:rPr>
        <w:t>whether or not</w:t>
      </w:r>
      <w:proofErr w:type="gramEnd"/>
      <w:r w:rsidR="00CB5500" w:rsidRPr="005144DB">
        <w:rPr>
          <w:rFonts w:ascii="Times New Roman" w:hAnsi="Times New Roman" w:cs="Times New Roman"/>
          <w:sz w:val="24"/>
          <w:szCs w:val="24"/>
        </w:rPr>
        <w:t xml:space="preserve"> the </w:t>
      </w:r>
      <w:r w:rsidR="00FA0315">
        <w:rPr>
          <w:rFonts w:ascii="Times New Roman" w:hAnsi="Times New Roman" w:cs="Times New Roman"/>
          <w:sz w:val="24"/>
          <w:szCs w:val="24"/>
        </w:rPr>
        <w:t xml:space="preserve">start </w:t>
      </w:r>
      <w:r w:rsidR="00CB5500">
        <w:rPr>
          <w:rFonts w:ascii="Times New Roman" w:hAnsi="Times New Roman" w:cs="Times New Roman"/>
          <w:sz w:val="24"/>
          <w:szCs w:val="24"/>
        </w:rPr>
        <w:t>day</w:t>
      </w:r>
      <w:r w:rsidR="00CB5500" w:rsidRPr="005144DB">
        <w:rPr>
          <w:rFonts w:ascii="Times New Roman" w:hAnsi="Times New Roman" w:cs="Times New Roman"/>
          <w:sz w:val="24"/>
          <w:szCs w:val="24"/>
        </w:rPr>
        <w:t xml:space="preserve"> </w:t>
      </w:r>
      <w:r w:rsidR="00FA0315">
        <w:rPr>
          <w:rFonts w:ascii="Times New Roman" w:hAnsi="Times New Roman" w:cs="Times New Roman"/>
          <w:sz w:val="24"/>
          <w:szCs w:val="24"/>
        </w:rPr>
        <w:t xml:space="preserve">of the violent episode </w:t>
      </w:r>
      <w:r w:rsidR="00CB5500" w:rsidRPr="005144DB">
        <w:rPr>
          <w:rFonts w:ascii="Times New Roman" w:hAnsi="Times New Roman" w:cs="Times New Roman"/>
          <w:sz w:val="24"/>
          <w:szCs w:val="24"/>
        </w:rPr>
        <w:t xml:space="preserve">in question is within three years of the start of a </w:t>
      </w:r>
      <w:r w:rsidR="00CB5500">
        <w:rPr>
          <w:rFonts w:ascii="Times New Roman" w:hAnsi="Times New Roman" w:cs="Times New Roman"/>
          <w:sz w:val="24"/>
          <w:szCs w:val="24"/>
        </w:rPr>
        <w:t>military</w:t>
      </w:r>
      <w:r w:rsidR="00CB5500" w:rsidRPr="005144DB">
        <w:rPr>
          <w:rFonts w:ascii="Times New Roman" w:hAnsi="Times New Roman" w:cs="Times New Roman"/>
          <w:sz w:val="24"/>
          <w:szCs w:val="24"/>
        </w:rPr>
        <w:t xml:space="preserve"> operation </w:t>
      </w:r>
      <w:r w:rsidR="00CB5500">
        <w:rPr>
          <w:rFonts w:ascii="Times New Roman" w:hAnsi="Times New Roman" w:cs="Times New Roman"/>
          <w:sz w:val="24"/>
          <w:szCs w:val="24"/>
        </w:rPr>
        <w:t xml:space="preserve">by one of the five permanent members of the UN Security Council (US, UK, France, Russia, China) </w:t>
      </w:r>
      <w:r w:rsidR="00CB5500" w:rsidRPr="005144DB">
        <w:rPr>
          <w:rFonts w:ascii="Times New Roman" w:hAnsi="Times New Roman" w:cs="Times New Roman"/>
          <w:sz w:val="24"/>
          <w:szCs w:val="24"/>
        </w:rPr>
        <w:t>in the country in question.</w:t>
      </w:r>
    </w:p>
    <w:p w14:paraId="012F290A" w14:textId="52DB7D8B" w:rsidR="00D11722" w:rsidRDefault="002E643E">
      <w:pPr>
        <w:rPr>
          <w:rFonts w:ascii="Times New Roman" w:hAnsi="Times New Roman" w:cs="Times New Roman"/>
          <w:sz w:val="24"/>
          <w:szCs w:val="24"/>
        </w:rPr>
      </w:pPr>
      <w:proofErr w:type="spellStart"/>
      <w:r w:rsidRPr="002E643E">
        <w:rPr>
          <w:rFonts w:ascii="Times New Roman" w:hAnsi="Times New Roman" w:cs="Times New Roman"/>
          <w:sz w:val="24"/>
          <w:szCs w:val="24"/>
        </w:rPr>
        <w:t>durUnilat</w:t>
      </w:r>
      <w:proofErr w:type="spellEnd"/>
      <w:r w:rsidR="003570AC">
        <w:rPr>
          <w:rFonts w:ascii="Times New Roman" w:hAnsi="Times New Roman" w:cs="Times New Roman"/>
          <w:sz w:val="24"/>
          <w:szCs w:val="24"/>
        </w:rPr>
        <w:t xml:space="preserve">: </w:t>
      </w:r>
      <w:r w:rsidR="003570AC" w:rsidRPr="003570AC">
        <w:rPr>
          <w:rFonts w:ascii="Times New Roman" w:hAnsi="Times New Roman" w:cs="Times New Roman"/>
          <w:sz w:val="24"/>
          <w:szCs w:val="24"/>
        </w:rPr>
        <w:t xml:space="preserve">Dummy variable revealing </w:t>
      </w:r>
      <w:proofErr w:type="gramStart"/>
      <w:r w:rsidR="003570AC" w:rsidRPr="003570AC">
        <w:rPr>
          <w:rFonts w:ascii="Times New Roman" w:hAnsi="Times New Roman" w:cs="Times New Roman"/>
          <w:sz w:val="24"/>
          <w:szCs w:val="24"/>
        </w:rPr>
        <w:t>whether or not</w:t>
      </w:r>
      <w:proofErr w:type="gramEnd"/>
      <w:r w:rsidR="003570AC" w:rsidRPr="003570AC">
        <w:rPr>
          <w:rFonts w:ascii="Times New Roman" w:hAnsi="Times New Roman" w:cs="Times New Roman"/>
          <w:sz w:val="24"/>
          <w:szCs w:val="24"/>
        </w:rPr>
        <w:t xml:space="preserve"> there is an ongoing military operation by one of the five permanent members of the UN Security Council (US, UK, France, Russia, China) in the country in question.  </w:t>
      </w:r>
    </w:p>
    <w:p w14:paraId="5EDBB594" w14:textId="4734B60A" w:rsidR="00D11722" w:rsidRDefault="00123F90">
      <w:pPr>
        <w:rPr>
          <w:rFonts w:ascii="Times New Roman" w:hAnsi="Times New Roman" w:cs="Times New Roman"/>
          <w:sz w:val="24"/>
          <w:szCs w:val="24"/>
        </w:rPr>
      </w:pPr>
      <w:proofErr w:type="spellStart"/>
      <w:r w:rsidRPr="00123F90">
        <w:rPr>
          <w:rFonts w:ascii="Times New Roman" w:hAnsi="Times New Roman" w:cs="Times New Roman"/>
          <w:sz w:val="24"/>
          <w:szCs w:val="24"/>
        </w:rPr>
        <w:lastRenderedPageBreak/>
        <w:t>afterUnilat</w:t>
      </w:r>
      <w:proofErr w:type="spellEnd"/>
      <w:r w:rsidR="005144DB">
        <w:rPr>
          <w:rFonts w:ascii="Times New Roman" w:hAnsi="Times New Roman" w:cs="Times New Roman"/>
          <w:sz w:val="24"/>
          <w:szCs w:val="24"/>
        </w:rPr>
        <w:t xml:space="preserve">: </w:t>
      </w:r>
      <w:r w:rsidR="002E643E" w:rsidRPr="002E643E">
        <w:rPr>
          <w:rFonts w:ascii="Times New Roman" w:hAnsi="Times New Roman" w:cs="Times New Roman"/>
          <w:sz w:val="24"/>
          <w:szCs w:val="24"/>
        </w:rPr>
        <w:t xml:space="preserve"> </w:t>
      </w:r>
      <w:r w:rsidR="005144DB" w:rsidRPr="005144DB">
        <w:rPr>
          <w:rFonts w:ascii="Times New Roman" w:hAnsi="Times New Roman" w:cs="Times New Roman"/>
          <w:sz w:val="24"/>
          <w:szCs w:val="24"/>
        </w:rPr>
        <w:t xml:space="preserve">Dummy variable revealing </w:t>
      </w:r>
      <w:proofErr w:type="gramStart"/>
      <w:r w:rsidR="005144DB" w:rsidRPr="005144DB">
        <w:rPr>
          <w:rFonts w:ascii="Times New Roman" w:hAnsi="Times New Roman" w:cs="Times New Roman"/>
          <w:sz w:val="24"/>
          <w:szCs w:val="24"/>
        </w:rPr>
        <w:t>whether or not</w:t>
      </w:r>
      <w:proofErr w:type="gramEnd"/>
      <w:r w:rsidR="005144DB" w:rsidRPr="005144DB">
        <w:rPr>
          <w:rFonts w:ascii="Times New Roman" w:hAnsi="Times New Roman" w:cs="Times New Roman"/>
          <w:sz w:val="24"/>
          <w:szCs w:val="24"/>
        </w:rPr>
        <w:t xml:space="preserve"> the </w:t>
      </w:r>
      <w:r w:rsidR="004429B4">
        <w:rPr>
          <w:rFonts w:ascii="Times New Roman" w:hAnsi="Times New Roman" w:cs="Times New Roman"/>
          <w:sz w:val="24"/>
          <w:szCs w:val="24"/>
        </w:rPr>
        <w:t>start day</w:t>
      </w:r>
      <w:r w:rsidR="005144DB" w:rsidRPr="005144DB">
        <w:rPr>
          <w:rFonts w:ascii="Times New Roman" w:hAnsi="Times New Roman" w:cs="Times New Roman"/>
          <w:sz w:val="24"/>
          <w:szCs w:val="24"/>
        </w:rPr>
        <w:t xml:space="preserve"> </w:t>
      </w:r>
      <w:r w:rsidR="004429B4">
        <w:rPr>
          <w:rFonts w:ascii="Times New Roman" w:hAnsi="Times New Roman" w:cs="Times New Roman"/>
          <w:sz w:val="24"/>
          <w:szCs w:val="24"/>
        </w:rPr>
        <w:t xml:space="preserve">of the violent event </w:t>
      </w:r>
      <w:r w:rsidR="005144DB" w:rsidRPr="005144DB">
        <w:rPr>
          <w:rFonts w:ascii="Times New Roman" w:hAnsi="Times New Roman" w:cs="Times New Roman"/>
          <w:sz w:val="24"/>
          <w:szCs w:val="24"/>
        </w:rPr>
        <w:t xml:space="preserve">in question is within three years </w:t>
      </w:r>
      <w:r w:rsidR="003570AC">
        <w:rPr>
          <w:rFonts w:ascii="Times New Roman" w:hAnsi="Times New Roman" w:cs="Times New Roman"/>
          <w:sz w:val="24"/>
          <w:szCs w:val="24"/>
        </w:rPr>
        <w:t>after the ending</w:t>
      </w:r>
      <w:r w:rsidR="005144DB" w:rsidRPr="005144DB">
        <w:rPr>
          <w:rFonts w:ascii="Times New Roman" w:hAnsi="Times New Roman" w:cs="Times New Roman"/>
          <w:sz w:val="24"/>
          <w:szCs w:val="24"/>
        </w:rPr>
        <w:t xml:space="preserve"> of a military operation by one of the five permanent members of the UN Security Council (US, UK, France, Russia, China) in the country in question.  </w:t>
      </w:r>
    </w:p>
    <w:p w14:paraId="292FBF3D" w14:textId="277DC2E5" w:rsidR="00853C40" w:rsidRPr="00853C40" w:rsidRDefault="00853C40" w:rsidP="00853C40">
      <w:pPr>
        <w:rPr>
          <w:rFonts w:ascii="Times New Roman" w:hAnsi="Times New Roman" w:cs="Times New Roman"/>
          <w:sz w:val="24"/>
          <w:szCs w:val="24"/>
        </w:rPr>
      </w:pPr>
      <w:proofErr w:type="spellStart"/>
      <w:r w:rsidRPr="00853C40">
        <w:rPr>
          <w:rFonts w:ascii="Times New Roman" w:hAnsi="Times New Roman" w:cs="Times New Roman"/>
          <w:sz w:val="24"/>
          <w:szCs w:val="24"/>
        </w:rPr>
        <w:t>pre</w:t>
      </w:r>
      <w:r>
        <w:rPr>
          <w:rFonts w:ascii="Times New Roman" w:hAnsi="Times New Roman" w:cs="Times New Roman"/>
          <w:sz w:val="24"/>
          <w:szCs w:val="24"/>
        </w:rPr>
        <w:t>UN</w:t>
      </w:r>
      <w:proofErr w:type="spellEnd"/>
      <w:r w:rsidRPr="00853C40">
        <w:rPr>
          <w:rFonts w:ascii="Times New Roman" w:hAnsi="Times New Roman" w:cs="Times New Roman"/>
          <w:sz w:val="24"/>
          <w:szCs w:val="24"/>
        </w:rPr>
        <w:t xml:space="preserve">:  Dummy variable revealing </w:t>
      </w:r>
      <w:proofErr w:type="gramStart"/>
      <w:r w:rsidRPr="00853C40">
        <w:rPr>
          <w:rFonts w:ascii="Times New Roman" w:hAnsi="Times New Roman" w:cs="Times New Roman"/>
          <w:sz w:val="24"/>
          <w:szCs w:val="24"/>
        </w:rPr>
        <w:t>whether or not</w:t>
      </w:r>
      <w:proofErr w:type="gramEnd"/>
      <w:r w:rsidRPr="00853C40">
        <w:rPr>
          <w:rFonts w:ascii="Times New Roman" w:hAnsi="Times New Roman" w:cs="Times New Roman"/>
          <w:sz w:val="24"/>
          <w:szCs w:val="24"/>
        </w:rPr>
        <w:t xml:space="preserve"> the start day of the violent episode in question is within three years of the start of a </w:t>
      </w:r>
      <w:r>
        <w:rPr>
          <w:rFonts w:ascii="Times New Roman" w:hAnsi="Times New Roman" w:cs="Times New Roman"/>
          <w:sz w:val="24"/>
          <w:szCs w:val="24"/>
        </w:rPr>
        <w:t>UN peacekeeping mission</w:t>
      </w:r>
      <w:r w:rsidRPr="00853C40">
        <w:rPr>
          <w:rFonts w:ascii="Times New Roman" w:hAnsi="Times New Roman" w:cs="Times New Roman"/>
          <w:sz w:val="24"/>
          <w:szCs w:val="24"/>
        </w:rPr>
        <w:t xml:space="preserve"> in the country in question.</w:t>
      </w:r>
    </w:p>
    <w:p w14:paraId="4AF968CC" w14:textId="6197A263" w:rsidR="00853C40" w:rsidRPr="00853C40" w:rsidRDefault="00853C40" w:rsidP="00853C40">
      <w:pPr>
        <w:rPr>
          <w:rFonts w:ascii="Times New Roman" w:hAnsi="Times New Roman" w:cs="Times New Roman"/>
          <w:sz w:val="24"/>
          <w:szCs w:val="24"/>
        </w:rPr>
      </w:pPr>
      <w:proofErr w:type="spellStart"/>
      <w:r w:rsidRPr="00853C40">
        <w:rPr>
          <w:rFonts w:ascii="Times New Roman" w:hAnsi="Times New Roman" w:cs="Times New Roman"/>
          <w:sz w:val="24"/>
          <w:szCs w:val="24"/>
        </w:rPr>
        <w:t>durU</w:t>
      </w:r>
      <w:r w:rsidR="003E397D">
        <w:rPr>
          <w:rFonts w:ascii="Times New Roman" w:hAnsi="Times New Roman" w:cs="Times New Roman"/>
          <w:sz w:val="24"/>
          <w:szCs w:val="24"/>
        </w:rPr>
        <w:t>N</w:t>
      </w:r>
      <w:proofErr w:type="spellEnd"/>
      <w:r w:rsidRPr="00853C40">
        <w:rPr>
          <w:rFonts w:ascii="Times New Roman" w:hAnsi="Times New Roman" w:cs="Times New Roman"/>
          <w:sz w:val="24"/>
          <w:szCs w:val="24"/>
        </w:rPr>
        <w:t xml:space="preserve">: Dummy variable revealing </w:t>
      </w:r>
      <w:proofErr w:type="gramStart"/>
      <w:r w:rsidRPr="00853C40">
        <w:rPr>
          <w:rFonts w:ascii="Times New Roman" w:hAnsi="Times New Roman" w:cs="Times New Roman"/>
          <w:sz w:val="24"/>
          <w:szCs w:val="24"/>
        </w:rPr>
        <w:t>whether or not</w:t>
      </w:r>
      <w:proofErr w:type="gramEnd"/>
      <w:r w:rsidRPr="00853C40">
        <w:rPr>
          <w:rFonts w:ascii="Times New Roman" w:hAnsi="Times New Roman" w:cs="Times New Roman"/>
          <w:sz w:val="24"/>
          <w:szCs w:val="24"/>
        </w:rPr>
        <w:t xml:space="preserve"> there is an ongoing </w:t>
      </w:r>
      <w:r w:rsidR="00991AC6">
        <w:rPr>
          <w:rFonts w:ascii="Times New Roman" w:hAnsi="Times New Roman" w:cs="Times New Roman"/>
          <w:sz w:val="24"/>
          <w:szCs w:val="24"/>
        </w:rPr>
        <w:t>peacekeeping</w:t>
      </w:r>
      <w:r w:rsidRPr="00853C40">
        <w:rPr>
          <w:rFonts w:ascii="Times New Roman" w:hAnsi="Times New Roman" w:cs="Times New Roman"/>
          <w:sz w:val="24"/>
          <w:szCs w:val="24"/>
        </w:rPr>
        <w:t xml:space="preserve"> operation by the UN Security Council</w:t>
      </w:r>
      <w:r w:rsidR="00805A28">
        <w:rPr>
          <w:rFonts w:ascii="Times New Roman" w:hAnsi="Times New Roman" w:cs="Times New Roman"/>
          <w:sz w:val="24"/>
          <w:szCs w:val="24"/>
        </w:rPr>
        <w:t xml:space="preserve"> during the starting day of the violent event in question</w:t>
      </w:r>
      <w:r w:rsidRPr="00853C40">
        <w:rPr>
          <w:rFonts w:ascii="Times New Roman" w:hAnsi="Times New Roman" w:cs="Times New Roman"/>
          <w:sz w:val="24"/>
          <w:szCs w:val="24"/>
        </w:rPr>
        <w:t xml:space="preserve">.  </w:t>
      </w:r>
    </w:p>
    <w:p w14:paraId="5899F398" w14:textId="5DE5798A" w:rsidR="00853C40" w:rsidRDefault="00853C40" w:rsidP="00853C40">
      <w:pPr>
        <w:rPr>
          <w:rFonts w:ascii="Times New Roman" w:hAnsi="Times New Roman" w:cs="Times New Roman"/>
          <w:sz w:val="24"/>
          <w:szCs w:val="24"/>
        </w:rPr>
      </w:pPr>
      <w:proofErr w:type="spellStart"/>
      <w:r w:rsidRPr="00853C40">
        <w:rPr>
          <w:rFonts w:ascii="Times New Roman" w:hAnsi="Times New Roman" w:cs="Times New Roman"/>
          <w:sz w:val="24"/>
          <w:szCs w:val="24"/>
        </w:rPr>
        <w:t>afterU</w:t>
      </w:r>
      <w:r w:rsidR="003E397D">
        <w:rPr>
          <w:rFonts w:ascii="Times New Roman" w:hAnsi="Times New Roman" w:cs="Times New Roman"/>
          <w:sz w:val="24"/>
          <w:szCs w:val="24"/>
        </w:rPr>
        <w:t>N</w:t>
      </w:r>
      <w:proofErr w:type="spellEnd"/>
      <w:r w:rsidRPr="00853C40">
        <w:rPr>
          <w:rFonts w:ascii="Times New Roman" w:hAnsi="Times New Roman" w:cs="Times New Roman"/>
          <w:sz w:val="24"/>
          <w:szCs w:val="24"/>
        </w:rPr>
        <w:t xml:space="preserve">:  Dummy variable revealing </w:t>
      </w:r>
      <w:proofErr w:type="gramStart"/>
      <w:r w:rsidRPr="00853C40">
        <w:rPr>
          <w:rFonts w:ascii="Times New Roman" w:hAnsi="Times New Roman" w:cs="Times New Roman"/>
          <w:sz w:val="24"/>
          <w:szCs w:val="24"/>
        </w:rPr>
        <w:t>whether or not</w:t>
      </w:r>
      <w:proofErr w:type="gramEnd"/>
      <w:r w:rsidRPr="00853C40">
        <w:rPr>
          <w:rFonts w:ascii="Times New Roman" w:hAnsi="Times New Roman" w:cs="Times New Roman"/>
          <w:sz w:val="24"/>
          <w:szCs w:val="24"/>
        </w:rPr>
        <w:t xml:space="preserve"> the start day of the violent event in question is within three years after the ending of a </w:t>
      </w:r>
      <w:r w:rsidR="00805A28">
        <w:rPr>
          <w:rFonts w:ascii="Times New Roman" w:hAnsi="Times New Roman" w:cs="Times New Roman"/>
          <w:sz w:val="24"/>
          <w:szCs w:val="24"/>
        </w:rPr>
        <w:t>peacekeeping operation by</w:t>
      </w:r>
      <w:r w:rsidRPr="00853C40">
        <w:rPr>
          <w:rFonts w:ascii="Times New Roman" w:hAnsi="Times New Roman" w:cs="Times New Roman"/>
          <w:sz w:val="24"/>
          <w:szCs w:val="24"/>
        </w:rPr>
        <w:t xml:space="preserve"> the UN Security Council in the country in question.  </w:t>
      </w:r>
    </w:p>
    <w:p w14:paraId="68D2DAA9" w14:textId="202716AF" w:rsidR="001B6A51" w:rsidRDefault="001B6A51" w:rsidP="00853C40">
      <w:pPr>
        <w:rPr>
          <w:rFonts w:ascii="Times New Roman" w:hAnsi="Times New Roman" w:cs="Times New Roman"/>
          <w:sz w:val="24"/>
          <w:szCs w:val="24"/>
        </w:rPr>
      </w:pPr>
      <w:proofErr w:type="spellStart"/>
      <w:r w:rsidRPr="001B6A51">
        <w:rPr>
          <w:rFonts w:ascii="Times New Roman" w:hAnsi="Times New Roman" w:cs="Times New Roman"/>
          <w:sz w:val="24"/>
          <w:szCs w:val="24"/>
        </w:rPr>
        <w:t>preMissionDays</w:t>
      </w:r>
      <w:proofErr w:type="spellEnd"/>
      <w:r w:rsidR="00652356">
        <w:rPr>
          <w:rFonts w:ascii="Times New Roman" w:hAnsi="Times New Roman" w:cs="Times New Roman"/>
          <w:sz w:val="24"/>
          <w:szCs w:val="24"/>
        </w:rPr>
        <w:t xml:space="preserve">: </w:t>
      </w:r>
      <w:bookmarkStart w:id="2" w:name="_Hlk138334136"/>
      <w:r w:rsidR="00E22DF0" w:rsidRPr="00E22DF0">
        <w:rPr>
          <w:rFonts w:ascii="Times New Roman" w:hAnsi="Times New Roman" w:cs="Times New Roman"/>
          <w:sz w:val="24"/>
          <w:szCs w:val="24"/>
        </w:rPr>
        <w:t xml:space="preserve">number of days </w:t>
      </w:r>
      <w:r w:rsidR="00315F62">
        <w:rPr>
          <w:rFonts w:ascii="Times New Roman" w:hAnsi="Times New Roman" w:cs="Times New Roman"/>
          <w:sz w:val="24"/>
          <w:szCs w:val="24"/>
        </w:rPr>
        <w:t>before</w:t>
      </w:r>
      <w:r w:rsidR="00E22DF0" w:rsidRPr="00E22DF0">
        <w:rPr>
          <w:rFonts w:ascii="Times New Roman" w:hAnsi="Times New Roman" w:cs="Times New Roman"/>
          <w:sz w:val="24"/>
          <w:szCs w:val="24"/>
        </w:rPr>
        <w:t xml:space="preserve"> the </w:t>
      </w:r>
      <w:r w:rsidR="00315F62">
        <w:rPr>
          <w:rFonts w:ascii="Times New Roman" w:hAnsi="Times New Roman" w:cs="Times New Roman"/>
          <w:sz w:val="24"/>
          <w:szCs w:val="24"/>
        </w:rPr>
        <w:t>start</w:t>
      </w:r>
      <w:r w:rsidR="00E22DF0" w:rsidRPr="00E22DF0">
        <w:rPr>
          <w:rFonts w:ascii="Times New Roman" w:hAnsi="Times New Roman" w:cs="Times New Roman"/>
          <w:sz w:val="24"/>
          <w:szCs w:val="24"/>
        </w:rPr>
        <w:t xml:space="preserve"> of the UN mission that we have evidence of the level of violent events, however, in maximum this number is 3*365 days.  </w:t>
      </w:r>
    </w:p>
    <w:bookmarkEnd w:id="2"/>
    <w:p w14:paraId="4479EBEE" w14:textId="1B29E7E5" w:rsidR="001B6A51" w:rsidRDefault="001B6A51" w:rsidP="00853C40">
      <w:pPr>
        <w:rPr>
          <w:rFonts w:ascii="Times New Roman" w:hAnsi="Times New Roman" w:cs="Times New Roman"/>
          <w:sz w:val="24"/>
          <w:szCs w:val="24"/>
        </w:rPr>
      </w:pPr>
      <w:proofErr w:type="spellStart"/>
      <w:r w:rsidRPr="001B6A51">
        <w:rPr>
          <w:rFonts w:ascii="Times New Roman" w:hAnsi="Times New Roman" w:cs="Times New Roman"/>
          <w:sz w:val="24"/>
          <w:szCs w:val="24"/>
        </w:rPr>
        <w:t>postMissionDays</w:t>
      </w:r>
      <w:proofErr w:type="spellEnd"/>
      <w:r w:rsidR="0085791B">
        <w:rPr>
          <w:rFonts w:ascii="Times New Roman" w:hAnsi="Times New Roman" w:cs="Times New Roman"/>
          <w:sz w:val="24"/>
          <w:szCs w:val="24"/>
        </w:rPr>
        <w:t xml:space="preserve">: </w:t>
      </w:r>
      <w:r w:rsidR="0085791B" w:rsidRPr="0085791B">
        <w:rPr>
          <w:rFonts w:ascii="Times New Roman" w:hAnsi="Times New Roman" w:cs="Times New Roman"/>
          <w:sz w:val="24"/>
          <w:szCs w:val="24"/>
        </w:rPr>
        <w:t xml:space="preserve">number of days </w:t>
      </w:r>
      <w:r w:rsidR="00A02D6C">
        <w:rPr>
          <w:rFonts w:ascii="Times New Roman" w:hAnsi="Times New Roman" w:cs="Times New Roman"/>
          <w:sz w:val="24"/>
          <w:szCs w:val="24"/>
        </w:rPr>
        <w:t>after</w:t>
      </w:r>
      <w:r w:rsidR="0085791B" w:rsidRPr="0085791B">
        <w:rPr>
          <w:rFonts w:ascii="Times New Roman" w:hAnsi="Times New Roman" w:cs="Times New Roman"/>
          <w:sz w:val="24"/>
          <w:szCs w:val="24"/>
        </w:rPr>
        <w:t xml:space="preserve"> the </w:t>
      </w:r>
      <w:r w:rsidR="00A02D6C">
        <w:rPr>
          <w:rFonts w:ascii="Times New Roman" w:hAnsi="Times New Roman" w:cs="Times New Roman"/>
          <w:sz w:val="24"/>
          <w:szCs w:val="24"/>
        </w:rPr>
        <w:t xml:space="preserve">ending of the </w:t>
      </w:r>
      <w:r w:rsidR="0085791B" w:rsidRPr="0085791B">
        <w:rPr>
          <w:rFonts w:ascii="Times New Roman" w:hAnsi="Times New Roman" w:cs="Times New Roman"/>
          <w:sz w:val="24"/>
          <w:szCs w:val="24"/>
        </w:rPr>
        <w:t xml:space="preserve">UN mission that </w:t>
      </w:r>
      <w:r w:rsidR="00A02D6C">
        <w:rPr>
          <w:rFonts w:ascii="Times New Roman" w:hAnsi="Times New Roman" w:cs="Times New Roman"/>
          <w:sz w:val="24"/>
          <w:szCs w:val="24"/>
        </w:rPr>
        <w:t xml:space="preserve">we have evidence of </w:t>
      </w:r>
      <w:r w:rsidR="004B3FA9">
        <w:rPr>
          <w:rFonts w:ascii="Times New Roman" w:hAnsi="Times New Roman" w:cs="Times New Roman"/>
          <w:sz w:val="24"/>
          <w:szCs w:val="24"/>
        </w:rPr>
        <w:t xml:space="preserve">the level of violent events, however, in maximum this number is </w:t>
      </w:r>
      <w:r w:rsidR="00E22DF0">
        <w:rPr>
          <w:rFonts w:ascii="Times New Roman" w:hAnsi="Times New Roman" w:cs="Times New Roman"/>
          <w:sz w:val="24"/>
          <w:szCs w:val="24"/>
        </w:rPr>
        <w:t xml:space="preserve">3*365 days.  </w:t>
      </w:r>
    </w:p>
    <w:p w14:paraId="4A665432" w14:textId="1A740082" w:rsidR="001B6A51" w:rsidRDefault="00E22DF0" w:rsidP="00853C40">
      <w:pPr>
        <w:rPr>
          <w:rFonts w:ascii="Times New Roman" w:hAnsi="Times New Roman" w:cs="Times New Roman"/>
          <w:sz w:val="24"/>
          <w:szCs w:val="24"/>
        </w:rPr>
      </w:pPr>
      <w:proofErr w:type="spellStart"/>
      <w:r>
        <w:rPr>
          <w:rFonts w:ascii="Times New Roman" w:hAnsi="Times New Roman" w:cs="Times New Roman"/>
          <w:sz w:val="24"/>
          <w:szCs w:val="24"/>
        </w:rPr>
        <w:t>m</w:t>
      </w:r>
      <w:r w:rsidR="001B6A51" w:rsidRPr="001B6A51">
        <w:rPr>
          <w:rFonts w:ascii="Times New Roman" w:hAnsi="Times New Roman" w:cs="Times New Roman"/>
          <w:sz w:val="24"/>
          <w:szCs w:val="24"/>
        </w:rPr>
        <w:t>issiondays</w:t>
      </w:r>
      <w:proofErr w:type="spellEnd"/>
      <w:r>
        <w:rPr>
          <w:rFonts w:ascii="Times New Roman" w:hAnsi="Times New Roman" w:cs="Times New Roman"/>
          <w:sz w:val="24"/>
          <w:szCs w:val="24"/>
        </w:rPr>
        <w:t xml:space="preserve">: </w:t>
      </w:r>
      <w:r w:rsidR="001B6A51" w:rsidRPr="001B6A51">
        <w:rPr>
          <w:rFonts w:ascii="Times New Roman" w:hAnsi="Times New Roman" w:cs="Times New Roman"/>
          <w:sz w:val="24"/>
          <w:szCs w:val="24"/>
        </w:rPr>
        <w:t xml:space="preserve"> </w:t>
      </w:r>
      <w:r w:rsidRPr="00E22DF0">
        <w:rPr>
          <w:rFonts w:ascii="Times New Roman" w:hAnsi="Times New Roman" w:cs="Times New Roman"/>
          <w:sz w:val="24"/>
          <w:szCs w:val="24"/>
        </w:rPr>
        <w:t xml:space="preserve">number of days in the UN mission that takes place in the country in question during the start day of the violent event in question.  </w:t>
      </w:r>
    </w:p>
    <w:p w14:paraId="1A7511AC" w14:textId="427674F4" w:rsidR="001B6A51" w:rsidRDefault="00315F62" w:rsidP="00853C40">
      <w:pPr>
        <w:rPr>
          <w:rFonts w:ascii="Times New Roman" w:hAnsi="Times New Roman" w:cs="Times New Roman"/>
          <w:sz w:val="24"/>
          <w:szCs w:val="24"/>
        </w:rPr>
      </w:pPr>
      <w:proofErr w:type="spellStart"/>
      <w:r>
        <w:rPr>
          <w:rFonts w:ascii="Times New Roman" w:hAnsi="Times New Roman" w:cs="Times New Roman"/>
          <w:sz w:val="24"/>
          <w:szCs w:val="24"/>
        </w:rPr>
        <w:t>p</w:t>
      </w:r>
      <w:r w:rsidR="001B6A51" w:rsidRPr="001B6A51">
        <w:rPr>
          <w:rFonts w:ascii="Times New Roman" w:hAnsi="Times New Roman" w:cs="Times New Roman"/>
          <w:sz w:val="24"/>
          <w:szCs w:val="24"/>
        </w:rPr>
        <w:t>reunilat</w:t>
      </w:r>
      <w:proofErr w:type="spellEnd"/>
      <w:r>
        <w:rPr>
          <w:rFonts w:ascii="Times New Roman" w:hAnsi="Times New Roman" w:cs="Times New Roman"/>
          <w:sz w:val="24"/>
          <w:szCs w:val="24"/>
        </w:rPr>
        <w:t xml:space="preserve">: </w:t>
      </w:r>
      <w:r w:rsidR="001B6A51" w:rsidRPr="001B6A51">
        <w:rPr>
          <w:rFonts w:ascii="Times New Roman" w:hAnsi="Times New Roman" w:cs="Times New Roman"/>
          <w:sz w:val="24"/>
          <w:szCs w:val="24"/>
        </w:rPr>
        <w:t xml:space="preserve"> </w:t>
      </w:r>
      <w:r w:rsidRPr="00315F62">
        <w:rPr>
          <w:rFonts w:ascii="Times New Roman" w:hAnsi="Times New Roman" w:cs="Times New Roman"/>
          <w:sz w:val="24"/>
          <w:szCs w:val="24"/>
        </w:rPr>
        <w:t xml:space="preserve">number of days before the start of the </w:t>
      </w:r>
      <w:r>
        <w:rPr>
          <w:rFonts w:ascii="Times New Roman" w:hAnsi="Times New Roman" w:cs="Times New Roman"/>
          <w:sz w:val="24"/>
          <w:szCs w:val="24"/>
        </w:rPr>
        <w:t>unilateral intervention</w:t>
      </w:r>
      <w:r w:rsidRPr="00315F62">
        <w:rPr>
          <w:rFonts w:ascii="Times New Roman" w:hAnsi="Times New Roman" w:cs="Times New Roman"/>
          <w:sz w:val="24"/>
          <w:szCs w:val="24"/>
        </w:rPr>
        <w:t xml:space="preserve"> that we have evidence of the level of violent events, however, in maximum this number is 3*365 days</w:t>
      </w:r>
    </w:p>
    <w:p w14:paraId="14D1CC6A" w14:textId="3831172F" w:rsidR="001B6A51" w:rsidRDefault="001B6A51" w:rsidP="00853C40">
      <w:pPr>
        <w:rPr>
          <w:rFonts w:ascii="Times New Roman" w:hAnsi="Times New Roman" w:cs="Times New Roman"/>
          <w:sz w:val="24"/>
          <w:szCs w:val="24"/>
        </w:rPr>
      </w:pPr>
      <w:proofErr w:type="spellStart"/>
      <w:r w:rsidRPr="001B6A51">
        <w:rPr>
          <w:rFonts w:ascii="Times New Roman" w:hAnsi="Times New Roman" w:cs="Times New Roman"/>
          <w:sz w:val="24"/>
          <w:szCs w:val="24"/>
        </w:rPr>
        <w:t>postunilat</w:t>
      </w:r>
      <w:proofErr w:type="spellEnd"/>
      <w:r w:rsidR="00880B75">
        <w:rPr>
          <w:rFonts w:ascii="Times New Roman" w:hAnsi="Times New Roman" w:cs="Times New Roman"/>
          <w:sz w:val="24"/>
          <w:szCs w:val="24"/>
        </w:rPr>
        <w:t>:</w:t>
      </w:r>
      <w:r w:rsidRPr="001B6A51">
        <w:rPr>
          <w:rFonts w:ascii="Times New Roman" w:hAnsi="Times New Roman" w:cs="Times New Roman"/>
          <w:sz w:val="24"/>
          <w:szCs w:val="24"/>
        </w:rPr>
        <w:t xml:space="preserve"> </w:t>
      </w:r>
      <w:r w:rsidR="00E413B0" w:rsidRPr="00E413B0">
        <w:rPr>
          <w:rFonts w:ascii="Times New Roman" w:hAnsi="Times New Roman" w:cs="Times New Roman"/>
          <w:sz w:val="24"/>
          <w:szCs w:val="24"/>
        </w:rPr>
        <w:t xml:space="preserve">number of days </w:t>
      </w:r>
      <w:r w:rsidR="00E413B0">
        <w:rPr>
          <w:rFonts w:ascii="Times New Roman" w:hAnsi="Times New Roman" w:cs="Times New Roman"/>
          <w:sz w:val="24"/>
          <w:szCs w:val="24"/>
        </w:rPr>
        <w:t>after</w:t>
      </w:r>
      <w:r w:rsidR="00E413B0" w:rsidRPr="00E413B0">
        <w:rPr>
          <w:rFonts w:ascii="Times New Roman" w:hAnsi="Times New Roman" w:cs="Times New Roman"/>
          <w:sz w:val="24"/>
          <w:szCs w:val="24"/>
        </w:rPr>
        <w:t xml:space="preserve"> the </w:t>
      </w:r>
      <w:r w:rsidR="00E413B0">
        <w:rPr>
          <w:rFonts w:ascii="Times New Roman" w:hAnsi="Times New Roman" w:cs="Times New Roman"/>
          <w:sz w:val="24"/>
          <w:szCs w:val="24"/>
        </w:rPr>
        <w:t>ending</w:t>
      </w:r>
      <w:r w:rsidR="00E413B0" w:rsidRPr="00E413B0">
        <w:rPr>
          <w:rFonts w:ascii="Times New Roman" w:hAnsi="Times New Roman" w:cs="Times New Roman"/>
          <w:sz w:val="24"/>
          <w:szCs w:val="24"/>
        </w:rPr>
        <w:t xml:space="preserve"> of the unilateral intervention that we have evidence of the level of violent events, however, in maximum this number is 3*365 days</w:t>
      </w:r>
    </w:p>
    <w:p w14:paraId="03AF8A7B" w14:textId="72FAC648" w:rsidR="001B6A51" w:rsidRDefault="00880B75" w:rsidP="00853C40">
      <w:pPr>
        <w:rPr>
          <w:rFonts w:ascii="Times New Roman" w:hAnsi="Times New Roman" w:cs="Times New Roman"/>
          <w:sz w:val="24"/>
          <w:szCs w:val="24"/>
        </w:rPr>
      </w:pPr>
      <w:proofErr w:type="spellStart"/>
      <w:r>
        <w:rPr>
          <w:rFonts w:ascii="Times New Roman" w:hAnsi="Times New Roman" w:cs="Times New Roman"/>
          <w:sz w:val="24"/>
          <w:szCs w:val="24"/>
        </w:rPr>
        <w:t>u</w:t>
      </w:r>
      <w:r w:rsidR="001B6A51" w:rsidRPr="001B6A51">
        <w:rPr>
          <w:rFonts w:ascii="Times New Roman" w:hAnsi="Times New Roman" w:cs="Times New Roman"/>
          <w:sz w:val="24"/>
          <w:szCs w:val="24"/>
        </w:rPr>
        <w:t>nilatdays</w:t>
      </w:r>
      <w:proofErr w:type="spellEnd"/>
      <w:r>
        <w:rPr>
          <w:rFonts w:ascii="Times New Roman" w:hAnsi="Times New Roman" w:cs="Times New Roman"/>
          <w:sz w:val="24"/>
          <w:szCs w:val="24"/>
        </w:rPr>
        <w:t xml:space="preserve">: </w:t>
      </w:r>
      <w:r w:rsidR="00E413B0" w:rsidRPr="00880B75">
        <w:rPr>
          <w:rFonts w:ascii="Times New Roman" w:hAnsi="Times New Roman" w:cs="Times New Roman"/>
          <w:sz w:val="24"/>
          <w:szCs w:val="24"/>
        </w:rPr>
        <w:t xml:space="preserve">number of days in the </w:t>
      </w:r>
      <w:r w:rsidR="00E413B0">
        <w:rPr>
          <w:rFonts w:ascii="Times New Roman" w:hAnsi="Times New Roman" w:cs="Times New Roman"/>
          <w:sz w:val="24"/>
          <w:szCs w:val="24"/>
        </w:rPr>
        <w:t>unilateral</w:t>
      </w:r>
      <w:r w:rsidR="00E413B0" w:rsidRPr="00880B75">
        <w:rPr>
          <w:rFonts w:ascii="Times New Roman" w:hAnsi="Times New Roman" w:cs="Times New Roman"/>
          <w:sz w:val="24"/>
          <w:szCs w:val="24"/>
        </w:rPr>
        <w:t xml:space="preserve"> </w:t>
      </w:r>
      <w:r w:rsidR="00E413B0">
        <w:rPr>
          <w:rFonts w:ascii="Times New Roman" w:hAnsi="Times New Roman" w:cs="Times New Roman"/>
          <w:sz w:val="24"/>
          <w:szCs w:val="24"/>
        </w:rPr>
        <w:t>military intervention</w:t>
      </w:r>
      <w:r w:rsidR="00E413B0" w:rsidRPr="00880B75">
        <w:rPr>
          <w:rFonts w:ascii="Times New Roman" w:hAnsi="Times New Roman" w:cs="Times New Roman"/>
          <w:sz w:val="24"/>
          <w:szCs w:val="24"/>
        </w:rPr>
        <w:t xml:space="preserve"> that takes place in the country in question during the start day of the violent event in question.  </w:t>
      </w:r>
    </w:p>
    <w:sectPr w:rsidR="001B6A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503F" w14:textId="77777777" w:rsidR="0082335D" w:rsidRDefault="0082335D" w:rsidP="00E63525">
      <w:pPr>
        <w:spacing w:after="0" w:line="240" w:lineRule="auto"/>
      </w:pPr>
      <w:r>
        <w:separator/>
      </w:r>
    </w:p>
  </w:endnote>
  <w:endnote w:type="continuationSeparator" w:id="0">
    <w:p w14:paraId="5AC9E3F2" w14:textId="77777777" w:rsidR="0082335D" w:rsidRDefault="0082335D" w:rsidP="00E6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7756" w14:textId="77777777" w:rsidR="0082335D" w:rsidRDefault="0082335D" w:rsidP="00E63525">
      <w:pPr>
        <w:spacing w:after="0" w:line="240" w:lineRule="auto"/>
      </w:pPr>
      <w:r>
        <w:separator/>
      </w:r>
    </w:p>
  </w:footnote>
  <w:footnote w:type="continuationSeparator" w:id="0">
    <w:p w14:paraId="037156CE" w14:textId="77777777" w:rsidR="0082335D" w:rsidRDefault="0082335D" w:rsidP="00E63525">
      <w:pPr>
        <w:spacing w:after="0" w:line="240" w:lineRule="auto"/>
      </w:pPr>
      <w:r>
        <w:continuationSeparator/>
      </w:r>
    </w:p>
  </w:footnote>
  <w:footnote w:id="1">
    <w:p w14:paraId="237BAAC7" w14:textId="6FA1DE73" w:rsidR="00336776" w:rsidRPr="006348F8" w:rsidRDefault="00336776">
      <w:pPr>
        <w:pStyle w:val="FootnoteText"/>
        <w:rPr>
          <w:rFonts w:ascii="Times New Roman" w:hAnsi="Times New Roman" w:cs="Times New Roman"/>
        </w:rPr>
      </w:pPr>
      <w:r w:rsidRPr="006348F8">
        <w:rPr>
          <w:rStyle w:val="FootnoteReference"/>
          <w:rFonts w:ascii="Times New Roman" w:hAnsi="Times New Roman" w:cs="Times New Roman"/>
        </w:rPr>
        <w:footnoteRef/>
      </w:r>
      <w:r w:rsidRPr="006348F8">
        <w:rPr>
          <w:rFonts w:ascii="Times New Roman" w:hAnsi="Times New Roman" w:cs="Times New Roman"/>
        </w:rPr>
        <w:t xml:space="preserve"> </w:t>
      </w:r>
      <w:r w:rsidRPr="006348F8">
        <w:rPr>
          <w:rFonts w:ascii="Times New Roman" w:hAnsi="Times New Roman" w:cs="Times New Roman"/>
        </w:rPr>
        <w:fldChar w:fldCharType="begin"/>
      </w:r>
      <w:r w:rsidR="006348F8" w:rsidRPr="006348F8">
        <w:rPr>
          <w:rFonts w:ascii="Times New Roman" w:hAnsi="Times New Roman" w:cs="Times New Roman"/>
        </w:rPr>
        <w:instrText xml:space="preserve"> ADDIN ZOTERO_ITEM CSL_CITATION {"citationID":"tRavmoD9","properties":{"formattedCitation":"Shawn Davies, Ther\\uc0\\u233{}se Pettersson, and Magnus \\uc0\\u214{}berg, \\uc0\\u8216{}Organized Violence 1989\\uc0\\u8211{}2021 and Drone Warfare\\uc0\\u8217{}, {\\i{}Journal of Peace Research} 59, no. 4 (1 July 2022): 593\\uc0\\u8211{}610, https://doi.org/10.1177/00223433221108428.","plainCitation":"Shawn Davies, Therése Pettersson, and Magnus Öberg, ‘Organized Violence 1989–2021 and Drone Warfare’, Journal of Peace Research 59, no. 4 (1 July 2022): 593–610, https://doi.org/10.1177/00223433221108428.","noteIndex":2},"citationItems":[{"id":11170,"uris":["http://zotero.org/users/1280722/items/A4GTIW3N"],"itemData":{"id":11170,"type":"article-journal","abstract":"This article reports on trends in organized violence, building on new data by the Uppsala Conflict Data Program (UCDP). The falling trend in fatalities stemming from organized violence in the world, observed between 2014 and 2019, was decisively reversed in 2021 as fatalities increased significantly. UCDP registered more than 119,100 deaths in organized violence in 2021, a 46% increase from the previous year. The increase was largely driven by escalating conflicts in Afghanistan, Ethiopia, and Yemen. Fatalities increased in all three categories of organized violence, despite a decrease in the number of active state-based conflicts, as well as the number of actors carrying out one-sided violence against civilians. UCDP recorded 54 state-based conflicts in 2021, a decrease by two compared to the previous year. Five of the conflicts were active at the intensity of war, the lowest number of wars since 2010. Violence in 2021 was thus concentrated to fewer but bloodier conflicts. Unmanned aerial vehicles (UAVs), commonly known as drones, have become increasingly important features of modern conflicts, and the trend in their usage is discussed in the special feature section. UAV usage has since 2019 dispersed among a significant larger number of actors, even as the downscaling in the involvement of the United States in the war on terror has led to a decrease in drone-related fatalities.","container-title":"Journal of Peace Research","DOI":"10.1177/00223433221108428","ISSN":"0022-3433","issue":"4","journalAbbreviation":"Journal of Peace Research","language":"en","note":"publisher: SAGE Publications Ltd","page":"593-610","source":"SAGE Journals","title":"Organized violence 1989–2021 and drone warfare","volume":"59","author":[{"family":"Davies","given":"Shawn"},{"family":"Pettersson","given":"Therése"},{"family":"Öberg","given":"Magnus"}],"issued":{"date-parts":[["2022",7,1]]}}}],"schema":"https://github.com/citation-style-language/schema/raw/master/csl-citation.json"} </w:instrText>
      </w:r>
      <w:r w:rsidRPr="006348F8">
        <w:rPr>
          <w:rFonts w:ascii="Times New Roman" w:hAnsi="Times New Roman" w:cs="Times New Roman"/>
        </w:rPr>
        <w:fldChar w:fldCharType="separate"/>
      </w:r>
      <w:r w:rsidR="006348F8" w:rsidRPr="006348F8">
        <w:rPr>
          <w:rFonts w:ascii="Times New Roman" w:hAnsi="Times New Roman" w:cs="Times New Roman"/>
          <w:szCs w:val="24"/>
        </w:rPr>
        <w:t xml:space="preserve">Shawn Davies, </w:t>
      </w:r>
      <w:proofErr w:type="spellStart"/>
      <w:r w:rsidR="006348F8" w:rsidRPr="006348F8">
        <w:rPr>
          <w:rFonts w:ascii="Times New Roman" w:hAnsi="Times New Roman" w:cs="Times New Roman"/>
          <w:szCs w:val="24"/>
        </w:rPr>
        <w:t>Therése</w:t>
      </w:r>
      <w:proofErr w:type="spellEnd"/>
      <w:r w:rsidR="006348F8" w:rsidRPr="006348F8">
        <w:rPr>
          <w:rFonts w:ascii="Times New Roman" w:hAnsi="Times New Roman" w:cs="Times New Roman"/>
          <w:szCs w:val="24"/>
        </w:rPr>
        <w:t xml:space="preserve"> </w:t>
      </w:r>
      <w:proofErr w:type="spellStart"/>
      <w:r w:rsidR="006348F8" w:rsidRPr="006348F8">
        <w:rPr>
          <w:rFonts w:ascii="Times New Roman" w:hAnsi="Times New Roman" w:cs="Times New Roman"/>
          <w:szCs w:val="24"/>
        </w:rPr>
        <w:t>Pettersson</w:t>
      </w:r>
      <w:proofErr w:type="spellEnd"/>
      <w:r w:rsidR="006348F8" w:rsidRPr="006348F8">
        <w:rPr>
          <w:rFonts w:ascii="Times New Roman" w:hAnsi="Times New Roman" w:cs="Times New Roman"/>
          <w:szCs w:val="24"/>
        </w:rPr>
        <w:t xml:space="preserve">, and Magnus </w:t>
      </w:r>
      <w:proofErr w:type="spellStart"/>
      <w:r w:rsidR="006348F8" w:rsidRPr="006348F8">
        <w:rPr>
          <w:rFonts w:ascii="Times New Roman" w:hAnsi="Times New Roman" w:cs="Times New Roman"/>
          <w:szCs w:val="24"/>
        </w:rPr>
        <w:t>Öberg</w:t>
      </w:r>
      <w:proofErr w:type="spellEnd"/>
      <w:r w:rsidR="006348F8" w:rsidRPr="006348F8">
        <w:rPr>
          <w:rFonts w:ascii="Times New Roman" w:hAnsi="Times New Roman" w:cs="Times New Roman"/>
          <w:szCs w:val="24"/>
        </w:rPr>
        <w:t xml:space="preserve">, ‘Organized Violence 1989–2021 and Drone Warfare’, </w:t>
      </w:r>
      <w:r w:rsidR="006348F8" w:rsidRPr="006348F8">
        <w:rPr>
          <w:rFonts w:ascii="Times New Roman" w:hAnsi="Times New Roman" w:cs="Times New Roman"/>
          <w:i/>
          <w:iCs/>
          <w:szCs w:val="24"/>
        </w:rPr>
        <w:t>Journal of Peace Research</w:t>
      </w:r>
      <w:r w:rsidR="006348F8" w:rsidRPr="006348F8">
        <w:rPr>
          <w:rFonts w:ascii="Times New Roman" w:hAnsi="Times New Roman" w:cs="Times New Roman"/>
          <w:szCs w:val="24"/>
        </w:rPr>
        <w:t xml:space="preserve"> 59, no. 4 (1 July 2022): 593–610, https://doi.org/10.1177/00223433221108428.</w:t>
      </w:r>
      <w:r w:rsidRPr="006348F8">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6A3"/>
    <w:multiLevelType w:val="hybridMultilevel"/>
    <w:tmpl w:val="74A6A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806DA"/>
    <w:multiLevelType w:val="hybridMultilevel"/>
    <w:tmpl w:val="7040D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46A07"/>
    <w:multiLevelType w:val="hybridMultilevel"/>
    <w:tmpl w:val="BBC2B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D97CB1"/>
    <w:multiLevelType w:val="hybridMultilevel"/>
    <w:tmpl w:val="82CC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437798"/>
    <w:multiLevelType w:val="hybridMultilevel"/>
    <w:tmpl w:val="97506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16807">
    <w:abstractNumId w:val="3"/>
  </w:num>
  <w:num w:numId="2" w16cid:durableId="80370543">
    <w:abstractNumId w:val="4"/>
  </w:num>
  <w:num w:numId="3" w16cid:durableId="124584523">
    <w:abstractNumId w:val="1"/>
  </w:num>
  <w:num w:numId="4" w16cid:durableId="206382374">
    <w:abstractNumId w:val="0"/>
  </w:num>
  <w:num w:numId="5" w16cid:durableId="74503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1A"/>
    <w:rsid w:val="00014D63"/>
    <w:rsid w:val="0002516D"/>
    <w:rsid w:val="0002619D"/>
    <w:rsid w:val="00037A6A"/>
    <w:rsid w:val="0005224A"/>
    <w:rsid w:val="00097CA3"/>
    <w:rsid w:val="000C1299"/>
    <w:rsid w:val="000C16A4"/>
    <w:rsid w:val="000D3CD1"/>
    <w:rsid w:val="000D4E06"/>
    <w:rsid w:val="000F3DC5"/>
    <w:rsid w:val="001079A3"/>
    <w:rsid w:val="00123F90"/>
    <w:rsid w:val="0018277C"/>
    <w:rsid w:val="00190BED"/>
    <w:rsid w:val="001B6A51"/>
    <w:rsid w:val="001C7D25"/>
    <w:rsid w:val="001E122E"/>
    <w:rsid w:val="00232E37"/>
    <w:rsid w:val="00245B53"/>
    <w:rsid w:val="0028447E"/>
    <w:rsid w:val="002B588C"/>
    <w:rsid w:val="002E643E"/>
    <w:rsid w:val="002F6E00"/>
    <w:rsid w:val="00312CE4"/>
    <w:rsid w:val="00314BF0"/>
    <w:rsid w:val="00315F62"/>
    <w:rsid w:val="00323313"/>
    <w:rsid w:val="00336776"/>
    <w:rsid w:val="00342161"/>
    <w:rsid w:val="003570AC"/>
    <w:rsid w:val="00390EAA"/>
    <w:rsid w:val="003B2CC9"/>
    <w:rsid w:val="003E397D"/>
    <w:rsid w:val="004344D8"/>
    <w:rsid w:val="004429B4"/>
    <w:rsid w:val="0045016C"/>
    <w:rsid w:val="004668AC"/>
    <w:rsid w:val="004B3FA9"/>
    <w:rsid w:val="00502E4C"/>
    <w:rsid w:val="00513661"/>
    <w:rsid w:val="005144DB"/>
    <w:rsid w:val="00523188"/>
    <w:rsid w:val="00541EF3"/>
    <w:rsid w:val="00573CF2"/>
    <w:rsid w:val="005829DC"/>
    <w:rsid w:val="005A41BE"/>
    <w:rsid w:val="005B0501"/>
    <w:rsid w:val="005B0FF3"/>
    <w:rsid w:val="005B239D"/>
    <w:rsid w:val="005E260B"/>
    <w:rsid w:val="00611CB5"/>
    <w:rsid w:val="006274DB"/>
    <w:rsid w:val="006348F8"/>
    <w:rsid w:val="00652356"/>
    <w:rsid w:val="00653CB4"/>
    <w:rsid w:val="0067366D"/>
    <w:rsid w:val="006950B8"/>
    <w:rsid w:val="00695BC8"/>
    <w:rsid w:val="006A044B"/>
    <w:rsid w:val="006A7502"/>
    <w:rsid w:val="006B0F16"/>
    <w:rsid w:val="006D107D"/>
    <w:rsid w:val="00704B2F"/>
    <w:rsid w:val="00723739"/>
    <w:rsid w:val="007278B7"/>
    <w:rsid w:val="007301CB"/>
    <w:rsid w:val="0073074B"/>
    <w:rsid w:val="007351DB"/>
    <w:rsid w:val="007449D4"/>
    <w:rsid w:val="007A1318"/>
    <w:rsid w:val="007D598B"/>
    <w:rsid w:val="007F3748"/>
    <w:rsid w:val="007F5330"/>
    <w:rsid w:val="00801235"/>
    <w:rsid w:val="00805A28"/>
    <w:rsid w:val="0082335D"/>
    <w:rsid w:val="00825E69"/>
    <w:rsid w:val="00850DDB"/>
    <w:rsid w:val="00853C40"/>
    <w:rsid w:val="0085791B"/>
    <w:rsid w:val="008808A6"/>
    <w:rsid w:val="00880B75"/>
    <w:rsid w:val="008B05D1"/>
    <w:rsid w:val="008B4E07"/>
    <w:rsid w:val="008C7C0A"/>
    <w:rsid w:val="008E5BE5"/>
    <w:rsid w:val="008F177D"/>
    <w:rsid w:val="008F611A"/>
    <w:rsid w:val="00902131"/>
    <w:rsid w:val="0090533B"/>
    <w:rsid w:val="00931F24"/>
    <w:rsid w:val="009369AC"/>
    <w:rsid w:val="009510CD"/>
    <w:rsid w:val="00974796"/>
    <w:rsid w:val="00991AC6"/>
    <w:rsid w:val="009D2C88"/>
    <w:rsid w:val="00A02D6C"/>
    <w:rsid w:val="00A102BC"/>
    <w:rsid w:val="00A24B47"/>
    <w:rsid w:val="00A270DA"/>
    <w:rsid w:val="00A30989"/>
    <w:rsid w:val="00A33C7A"/>
    <w:rsid w:val="00A838A4"/>
    <w:rsid w:val="00A87D3C"/>
    <w:rsid w:val="00AB1C5C"/>
    <w:rsid w:val="00AB4522"/>
    <w:rsid w:val="00B15AC3"/>
    <w:rsid w:val="00B237C3"/>
    <w:rsid w:val="00B3373B"/>
    <w:rsid w:val="00B369AF"/>
    <w:rsid w:val="00B755A8"/>
    <w:rsid w:val="00BA71B3"/>
    <w:rsid w:val="00BE3F46"/>
    <w:rsid w:val="00C41123"/>
    <w:rsid w:val="00C71BF5"/>
    <w:rsid w:val="00CB5500"/>
    <w:rsid w:val="00CC7244"/>
    <w:rsid w:val="00CE6FCD"/>
    <w:rsid w:val="00CF2530"/>
    <w:rsid w:val="00CF7A48"/>
    <w:rsid w:val="00D11722"/>
    <w:rsid w:val="00D21DDE"/>
    <w:rsid w:val="00DA11A6"/>
    <w:rsid w:val="00DA2C9A"/>
    <w:rsid w:val="00DA4DF4"/>
    <w:rsid w:val="00DB2CE8"/>
    <w:rsid w:val="00DB7068"/>
    <w:rsid w:val="00DD0D68"/>
    <w:rsid w:val="00DE3651"/>
    <w:rsid w:val="00DE7E3A"/>
    <w:rsid w:val="00E0434C"/>
    <w:rsid w:val="00E22DF0"/>
    <w:rsid w:val="00E413B0"/>
    <w:rsid w:val="00E63525"/>
    <w:rsid w:val="00E8614F"/>
    <w:rsid w:val="00EB1A96"/>
    <w:rsid w:val="00EF1D9B"/>
    <w:rsid w:val="00F000F6"/>
    <w:rsid w:val="00F0404D"/>
    <w:rsid w:val="00F33D9C"/>
    <w:rsid w:val="00F96D6D"/>
    <w:rsid w:val="00FA0315"/>
    <w:rsid w:val="00FC1682"/>
    <w:rsid w:val="00FE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F5A"/>
  <w15:chartTrackingRefBased/>
  <w15:docId w15:val="{8261F460-D0FB-47C8-A003-C363FBA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82"/>
  </w:style>
  <w:style w:type="paragraph" w:styleId="Heading1">
    <w:name w:val="heading 1"/>
    <w:basedOn w:val="Normal"/>
    <w:next w:val="Normal"/>
    <w:link w:val="Heading1Char"/>
    <w:uiPriority w:val="9"/>
    <w:qFormat/>
    <w:rsid w:val="000D4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74DB"/>
    <w:pPr>
      <w:ind w:left="720"/>
      <w:contextualSpacing/>
    </w:pPr>
  </w:style>
  <w:style w:type="character" w:styleId="Hyperlink">
    <w:name w:val="Hyperlink"/>
    <w:basedOn w:val="DefaultParagraphFont"/>
    <w:uiPriority w:val="99"/>
    <w:unhideWhenUsed/>
    <w:rsid w:val="00F000F6"/>
    <w:rPr>
      <w:color w:val="0563C1" w:themeColor="hyperlink"/>
      <w:u w:val="single"/>
    </w:rPr>
  </w:style>
  <w:style w:type="character" w:styleId="UnresolvedMention">
    <w:name w:val="Unresolved Mention"/>
    <w:basedOn w:val="DefaultParagraphFont"/>
    <w:uiPriority w:val="99"/>
    <w:semiHidden/>
    <w:unhideWhenUsed/>
    <w:rsid w:val="00F000F6"/>
    <w:rPr>
      <w:color w:val="605E5C"/>
      <w:shd w:val="clear" w:color="auto" w:fill="E1DFDD"/>
    </w:rPr>
  </w:style>
  <w:style w:type="paragraph" w:styleId="FootnoteText">
    <w:name w:val="footnote text"/>
    <w:basedOn w:val="Normal"/>
    <w:link w:val="FootnoteTextChar"/>
    <w:uiPriority w:val="99"/>
    <w:semiHidden/>
    <w:unhideWhenUsed/>
    <w:rsid w:val="00E63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525"/>
    <w:rPr>
      <w:sz w:val="20"/>
      <w:szCs w:val="20"/>
    </w:rPr>
  </w:style>
  <w:style w:type="character" w:styleId="FootnoteReference">
    <w:name w:val="footnote reference"/>
    <w:basedOn w:val="DefaultParagraphFont"/>
    <w:uiPriority w:val="99"/>
    <w:semiHidden/>
    <w:unhideWhenUsed/>
    <w:rsid w:val="00E63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5325">
      <w:bodyDiv w:val="1"/>
      <w:marLeft w:val="0"/>
      <w:marRight w:val="0"/>
      <w:marTop w:val="0"/>
      <w:marBottom w:val="0"/>
      <w:divBdr>
        <w:top w:val="none" w:sz="0" w:space="0" w:color="auto"/>
        <w:left w:val="none" w:sz="0" w:space="0" w:color="auto"/>
        <w:bottom w:val="none" w:sz="0" w:space="0" w:color="auto"/>
        <w:right w:val="none" w:sz="0" w:space="0" w:color="auto"/>
      </w:divBdr>
      <w:divsChild>
        <w:div w:id="443354057">
          <w:marLeft w:val="480"/>
          <w:marRight w:val="0"/>
          <w:marTop w:val="0"/>
          <w:marBottom w:val="0"/>
          <w:divBdr>
            <w:top w:val="none" w:sz="0" w:space="0" w:color="auto"/>
            <w:left w:val="none" w:sz="0" w:space="0" w:color="auto"/>
            <w:bottom w:val="none" w:sz="0" w:space="0" w:color="auto"/>
            <w:right w:val="none" w:sz="0" w:space="0" w:color="auto"/>
          </w:divBdr>
          <w:divsChild>
            <w:div w:id="14476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103">
      <w:bodyDiv w:val="1"/>
      <w:marLeft w:val="0"/>
      <w:marRight w:val="0"/>
      <w:marTop w:val="0"/>
      <w:marBottom w:val="0"/>
      <w:divBdr>
        <w:top w:val="none" w:sz="0" w:space="0" w:color="auto"/>
        <w:left w:val="none" w:sz="0" w:space="0" w:color="auto"/>
        <w:bottom w:val="none" w:sz="0" w:space="0" w:color="auto"/>
        <w:right w:val="none" w:sz="0" w:space="0" w:color="auto"/>
      </w:divBdr>
    </w:div>
    <w:div w:id="1905874174">
      <w:bodyDiv w:val="1"/>
      <w:marLeft w:val="0"/>
      <w:marRight w:val="0"/>
      <w:marTop w:val="0"/>
      <w:marBottom w:val="0"/>
      <w:divBdr>
        <w:top w:val="none" w:sz="0" w:space="0" w:color="auto"/>
        <w:left w:val="none" w:sz="0" w:space="0" w:color="auto"/>
        <w:bottom w:val="none" w:sz="0" w:space="0" w:color="auto"/>
        <w:right w:val="none" w:sz="0" w:space="0" w:color="auto"/>
      </w:divBdr>
      <w:divsChild>
        <w:div w:id="1565607040">
          <w:marLeft w:val="480"/>
          <w:marRight w:val="0"/>
          <w:marTop w:val="0"/>
          <w:marBottom w:val="0"/>
          <w:divBdr>
            <w:top w:val="none" w:sz="0" w:space="0" w:color="auto"/>
            <w:left w:val="none" w:sz="0" w:space="0" w:color="auto"/>
            <w:bottom w:val="none" w:sz="0" w:space="0" w:color="auto"/>
            <w:right w:val="none" w:sz="0" w:space="0" w:color="auto"/>
          </w:divBdr>
          <w:divsChild>
            <w:div w:id="16796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23433221108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6FAE-792D-476C-A64D-DD8527895C13}">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dc:creator>
  <cp:keywords/>
  <dc:description/>
  <cp:lastModifiedBy>Timo Kivimaki</cp:lastModifiedBy>
  <cp:revision>2</cp:revision>
  <dcterms:created xsi:type="dcterms:W3CDTF">2023-07-28T09:25:00Z</dcterms:created>
  <dcterms:modified xsi:type="dcterms:W3CDTF">2023-07-28T09:25:00Z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id="NB42ooyV"/&gt;&lt;style id="http://www.zotero.org/styles/chicago-fullnote-bibliography" locale="en-GB" hasBibliography="1" bibliographyStyleHasBeenSet="0"/&gt;&lt;prefs&gt;&lt;pref name="noteType" value="1"/&gt;&lt;pref</vt:lpwstr>
  </property>
  <property fmtid="{D5CDD505-2E9C-101B-9397-08002B2CF9AE}" pid="3" name="ZOTERO_PREF_2">
    <vt:lpwstr> name="fieldType" value="Field"/&gt;&lt;/prefs&gt;&lt;/data&gt;</vt:lpwstr>
  </property>
</Properties>
</file>