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BAB" w:rsidRDefault="001A3BAB" w:rsidP="001A3BAB">
      <w:pPr>
        <w:rPr>
          <w:rFonts w:eastAsiaTheme="minorEastAsia"/>
        </w:rPr>
      </w:pPr>
      <w:r>
        <w:t>Multiple SBM Building System Objects were generated. For simplicity, all SBM Building Objects are cuboid, but may be tall and thin, short and wide, or anything in</w:t>
      </w:r>
      <w:r>
        <w:t xml:space="preserve"> between</w:t>
      </w:r>
      <w:r>
        <w:t xml:space="preserve">. </w:t>
      </w:r>
      <w:r>
        <w:rPr>
          <w:rFonts w:eastAsiaTheme="minorEastAsia"/>
        </w:rPr>
        <w:t>Multiple building heights were defined</w:t>
      </w:r>
      <w:r>
        <w:rPr>
          <w:rFonts w:eastAsiaTheme="minorEastAsia"/>
        </w:rPr>
        <w:t>. V</w:t>
      </w:r>
      <w:r>
        <w:rPr>
          <w:rFonts w:eastAsiaTheme="minorEastAsia"/>
        </w:rPr>
        <w:t xml:space="preserve">alid SBM outputs required a </w:t>
      </w:r>
      <w:proofErr w:type="gramStart"/>
      <w:r>
        <w:rPr>
          <w:rFonts w:eastAsiaTheme="minorEastAsia"/>
        </w:rPr>
        <w:t>width :</w:t>
      </w:r>
      <w:proofErr w:type="gramEnd"/>
      <w:r>
        <w:rPr>
          <w:rFonts w:eastAsiaTheme="minorEastAsia"/>
        </w:rPr>
        <w:t xml:space="preserve"> height ratio greater than 0.125. </w:t>
      </w:r>
    </w:p>
    <w:p w:rsidR="001A3BAB" w:rsidRDefault="001A3BAB" w:rsidP="001A3BAB">
      <w:r>
        <w:t xml:space="preserve">The buildings were modelled with different heat loss/gains characteristics. </w:t>
      </w:r>
    </w:p>
    <w:p w:rsidR="001A3BAB" w:rsidRDefault="001A3BAB" w:rsidP="001A3BAB">
      <w:r>
        <w:t>The Standard Building Model (SBM) generated 24.7 million cases</w:t>
      </w:r>
      <w:r>
        <w:t xml:space="preserve">. </w:t>
      </w:r>
      <w:r>
        <w:t xml:space="preserve">Each case is assessed </w:t>
      </w:r>
      <w:proofErr w:type="gramStart"/>
      <w:r>
        <w:t>on the basis of</w:t>
      </w:r>
      <w:proofErr w:type="gramEnd"/>
      <w:r>
        <w:t xml:space="preserve"> both net carbon emissions and net energy demand. </w:t>
      </w:r>
    </w:p>
    <w:p w:rsidR="001A3BAB" w:rsidRDefault="001A3BAB" w:rsidP="001A3BAB">
      <w:r>
        <w:t xml:space="preserve">Each SBM case assessment output is generated with a unique </w:t>
      </w:r>
      <w:proofErr w:type="gramStart"/>
      <w:r>
        <w:t>14 unit</w:t>
      </w:r>
      <w:proofErr w:type="gramEnd"/>
      <w:r>
        <w:t xml:space="preserve"> case code whereby each unit value identifies a particular characteristic of the case in question (</w:t>
      </w:r>
      <w:r>
        <w:t>see Table 1</w:t>
      </w:r>
      <w:r>
        <w:t>).</w:t>
      </w:r>
    </w:p>
    <w:p w:rsidR="001A3BAB" w:rsidRDefault="001A3BAB" w:rsidP="001A3BAB"/>
    <w:p w:rsidR="001A3BAB" w:rsidRDefault="001A3BAB" w:rsidP="001A3BAB"/>
    <w:p w:rsidR="001A3BAB" w:rsidRDefault="001A3BAB" w:rsidP="001A3BAB">
      <w:pPr>
        <w:keepNext/>
      </w:pPr>
      <w:bookmarkStart w:id="0" w:name="_Ref485806535"/>
      <w:bookmarkStart w:id="1" w:name="_Toc494138656"/>
      <w:r>
        <w:lastRenderedPageBreak/>
        <w:t>Table</w:t>
      </w:r>
      <w:bookmarkEnd w:id="0"/>
      <w:r>
        <w:t xml:space="preserve"> 1</w:t>
      </w:r>
      <w:bookmarkStart w:id="2" w:name="_GoBack"/>
      <w:bookmarkEnd w:id="2"/>
      <w:r>
        <w:t>: SBM case code units, characteristics and values.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3544"/>
        <w:gridCol w:w="1508"/>
      </w:tblGrid>
      <w:tr w:rsidR="001A3BAB" w:rsidTr="00843EF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  <w:rPr>
                <w:b/>
              </w:rPr>
            </w:pPr>
            <w:r>
              <w:rPr>
                <w:b/>
              </w:rPr>
              <w:t xml:space="preserve">Case code unit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  <w:rPr>
                <w:b/>
              </w:rPr>
            </w:pPr>
            <w:r>
              <w:rPr>
                <w:b/>
              </w:rPr>
              <w:t>Input variable (Classification tree feature)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  <w:rPr>
                <w:b/>
              </w:rPr>
            </w:pPr>
            <w:r>
              <w:rPr>
                <w:b/>
              </w:rPr>
              <w:t>Case characteristic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  <w:rPr>
                <w:b/>
              </w:rPr>
            </w:pPr>
            <w:r>
              <w:rPr>
                <w:b/>
              </w:rPr>
              <w:t xml:space="preserve">Case code unit value </w:t>
            </w:r>
          </w:p>
        </w:tc>
      </w:tr>
      <w:tr w:rsidR="001A3BAB" w:rsidTr="00843EFE"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1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Building location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Athens</w:t>
            </w:r>
          </w:p>
        </w:tc>
        <w:tc>
          <w:tcPr>
            <w:tcW w:w="15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center"/>
            </w:pPr>
            <w:r>
              <w:t>1</w:t>
            </w:r>
          </w:p>
        </w:tc>
      </w:tr>
      <w:tr w:rsidR="001A3BAB" w:rsidTr="00843EFE"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r>
              <w:t>Carcassonne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center"/>
            </w:pPr>
            <w:r>
              <w:t>2</w:t>
            </w:r>
          </w:p>
        </w:tc>
      </w:tr>
      <w:tr w:rsidR="001A3BAB" w:rsidTr="00843EFE"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proofErr w:type="spellStart"/>
            <w:r>
              <w:t>Macapa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center"/>
            </w:pPr>
            <w:r>
              <w:t>3</w:t>
            </w:r>
          </w:p>
        </w:tc>
      </w:tr>
      <w:tr w:rsidR="001A3BAB" w:rsidTr="00843EFE"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r>
              <w:t>Mumbai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center"/>
            </w:pPr>
            <w:r>
              <w:t>4</w:t>
            </w:r>
          </w:p>
        </w:tc>
      </w:tr>
      <w:tr w:rsidR="001A3BAB" w:rsidTr="00843EFE"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r>
              <w:t>Oslo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center"/>
            </w:pPr>
            <w:r>
              <w:t>5</w:t>
            </w:r>
          </w:p>
        </w:tc>
      </w:tr>
      <w:tr w:rsidR="001A3BAB" w:rsidTr="00843EFE"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r>
              <w:t>Seattle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center"/>
            </w:pPr>
            <w:r>
              <w:t>6</w:t>
            </w:r>
          </w:p>
        </w:tc>
      </w:tr>
      <w:tr w:rsidR="001A3BAB" w:rsidTr="00843EFE"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2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Construction material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Brick</w:t>
            </w:r>
          </w:p>
        </w:tc>
        <w:tc>
          <w:tcPr>
            <w:tcW w:w="15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1</w:t>
            </w:r>
          </w:p>
        </w:tc>
      </w:tr>
      <w:tr w:rsidR="001A3BAB" w:rsidTr="00843EFE"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Straw (including sequestration)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2</w:t>
            </w:r>
          </w:p>
        </w:tc>
      </w:tr>
      <w:tr w:rsidR="001A3BAB" w:rsidTr="00843EFE"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Straw (excluding sequestration)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3</w:t>
            </w:r>
          </w:p>
        </w:tc>
      </w:tr>
      <w:tr w:rsidR="001A3BAB" w:rsidTr="00843EFE"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3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Calculation boundary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r>
              <w:t>Operational only</w:t>
            </w:r>
          </w:p>
        </w:tc>
        <w:tc>
          <w:tcPr>
            <w:tcW w:w="15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1</w:t>
            </w:r>
          </w:p>
        </w:tc>
      </w:tr>
      <w:tr w:rsidR="001A3BAB" w:rsidTr="00843EFE"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r>
              <w:t>Operational + Embodied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2</w:t>
            </w:r>
          </w:p>
        </w:tc>
      </w:tr>
      <w:tr w:rsidR="001A3BAB" w:rsidTr="00843EFE"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4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Balance period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r>
              <w:t>Annual</w:t>
            </w:r>
          </w:p>
        </w:tc>
        <w:tc>
          <w:tcPr>
            <w:tcW w:w="15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1</w:t>
            </w:r>
          </w:p>
        </w:tc>
      </w:tr>
      <w:tr w:rsidR="001A3BAB" w:rsidTr="00843EFE"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r>
              <w:t>Monthly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2</w:t>
            </w:r>
          </w:p>
        </w:tc>
      </w:tr>
      <w:tr w:rsidR="001A3BAB" w:rsidTr="00843EFE"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5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PV location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r>
              <w:t>Onsite</w:t>
            </w:r>
          </w:p>
        </w:tc>
        <w:tc>
          <w:tcPr>
            <w:tcW w:w="15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1</w:t>
            </w:r>
          </w:p>
        </w:tc>
      </w:tr>
      <w:tr w:rsidR="001A3BAB" w:rsidTr="00843EFE"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r>
              <w:t>Remote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2</w:t>
            </w:r>
          </w:p>
        </w:tc>
      </w:tr>
      <w:tr w:rsidR="001A3BAB" w:rsidTr="00843EFE"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6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Infiltration level (air changes per hour at normal pressure)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0.042 + MVHR</w:t>
            </w:r>
          </w:p>
        </w:tc>
        <w:tc>
          <w:tcPr>
            <w:tcW w:w="15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1</w:t>
            </w:r>
          </w:p>
        </w:tc>
      </w:tr>
      <w:tr w:rsidR="001A3BAB" w:rsidTr="00843EFE"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0.700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2</w:t>
            </w:r>
          </w:p>
        </w:tc>
      </w:tr>
      <w:tr w:rsidR="001A3BAB" w:rsidTr="00843EFE"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0.343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3</w:t>
            </w:r>
          </w:p>
        </w:tc>
      </w:tr>
      <w:tr w:rsidR="001A3BAB" w:rsidTr="00843EFE"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7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Occupancy density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No occupants</w:t>
            </w:r>
          </w:p>
        </w:tc>
        <w:tc>
          <w:tcPr>
            <w:tcW w:w="15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1</w:t>
            </w:r>
          </w:p>
        </w:tc>
      </w:tr>
      <w:tr w:rsidR="001A3BAB" w:rsidTr="00843EFE"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35 m</w:t>
            </w:r>
            <w:r>
              <w:rPr>
                <w:vertAlign w:val="superscript"/>
              </w:rPr>
              <w:t>2</w:t>
            </w:r>
            <w:r>
              <w:t>/person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2</w:t>
            </w:r>
          </w:p>
        </w:tc>
      </w:tr>
      <w:tr w:rsidR="001A3BAB" w:rsidTr="00843EFE"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20 m</w:t>
            </w:r>
            <w:r>
              <w:rPr>
                <w:vertAlign w:val="superscript"/>
              </w:rPr>
              <w:t>2</w:t>
            </w:r>
            <w:r>
              <w:t>/person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3</w:t>
            </w:r>
          </w:p>
        </w:tc>
      </w:tr>
      <w:tr w:rsidR="001A3BAB" w:rsidTr="00843EFE">
        <w:tc>
          <w:tcPr>
            <w:tcW w:w="1555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8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PV specification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Low embodied metrics</w:t>
            </w:r>
          </w:p>
        </w:tc>
        <w:tc>
          <w:tcPr>
            <w:tcW w:w="15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1</w:t>
            </w:r>
          </w:p>
        </w:tc>
      </w:tr>
      <w:tr w:rsidR="001A3BAB" w:rsidTr="00843EFE"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High embodied metrics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center"/>
            </w:pPr>
            <w:r>
              <w:t>2</w:t>
            </w:r>
          </w:p>
        </w:tc>
      </w:tr>
      <w:tr w:rsidR="001A3BAB" w:rsidTr="00843EFE"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9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Glazing U-value (W/m</w:t>
            </w:r>
            <w:r>
              <w:rPr>
                <w:vertAlign w:val="superscript"/>
              </w:rPr>
              <w:t>2</w:t>
            </w:r>
            <w:r>
              <w:t>K)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1.4, 0.8, 0.68</w:t>
            </w:r>
          </w:p>
        </w:tc>
        <w:tc>
          <w:tcPr>
            <w:tcW w:w="15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r>
              <w:t>As case label</w:t>
            </w:r>
          </w:p>
        </w:tc>
      </w:tr>
      <w:tr w:rsidR="001A3BAB" w:rsidTr="00843EFE"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10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Wall U-value (W/m</w:t>
            </w:r>
            <w:r>
              <w:rPr>
                <w:vertAlign w:val="superscript"/>
              </w:rPr>
              <w:t>2</w:t>
            </w:r>
            <w:r>
              <w:t>K)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0.10 – 0.18</w:t>
            </w:r>
          </w:p>
        </w:tc>
        <w:tc>
          <w:tcPr>
            <w:tcW w:w="15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r>
              <w:t>As case label</w:t>
            </w:r>
          </w:p>
        </w:tc>
      </w:tr>
      <w:tr w:rsidR="001A3BAB" w:rsidTr="00843EFE"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11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Glazing %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10 - 80</w:t>
            </w:r>
          </w:p>
        </w:tc>
        <w:tc>
          <w:tcPr>
            <w:tcW w:w="15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r>
              <w:t>As case label</w:t>
            </w:r>
          </w:p>
        </w:tc>
      </w:tr>
      <w:tr w:rsidR="001A3BAB" w:rsidTr="00843EFE"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12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Number of storeys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1 - 32</w:t>
            </w:r>
          </w:p>
        </w:tc>
        <w:tc>
          <w:tcPr>
            <w:tcW w:w="15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r>
              <w:t>As case label</w:t>
            </w:r>
          </w:p>
        </w:tc>
      </w:tr>
      <w:tr w:rsidR="001A3BAB" w:rsidTr="00843EFE"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13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Width (m)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 xml:space="preserve">Calculated value (see </w:t>
            </w:r>
            <w:r>
              <w:fldChar w:fldCharType="begin"/>
            </w:r>
            <w:r>
              <w:instrText xml:space="preserve"> REF _Ref478991434 \h </w:instrText>
            </w:r>
            <w:r>
              <w:fldChar w:fldCharType="separate"/>
            </w:r>
            <w:r>
              <w:t xml:space="preserve">Table </w:t>
            </w:r>
            <w:r>
              <w:rPr>
                <w:noProof/>
              </w:rPr>
              <w:t>4</w:t>
            </w:r>
            <w:r>
              <w:fldChar w:fldCharType="end"/>
            </w:r>
            <w:r>
              <w:t>)</w:t>
            </w:r>
          </w:p>
        </w:tc>
        <w:tc>
          <w:tcPr>
            <w:tcW w:w="15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r>
              <w:t>As case label</w:t>
            </w:r>
          </w:p>
        </w:tc>
      </w:tr>
      <w:tr w:rsidR="001A3BAB" w:rsidTr="00843EFE">
        <w:tc>
          <w:tcPr>
            <w:tcW w:w="1555" w:type="dxa"/>
            <w:tcBorders>
              <w:top w:val="single" w:sz="2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14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  <w:hideMark/>
          </w:tcPr>
          <w:p w:rsidR="001A3BAB" w:rsidRDefault="001A3BAB" w:rsidP="00843EFE">
            <w:pPr>
              <w:keepNext/>
              <w:jc w:val="left"/>
            </w:pPr>
            <w:r>
              <w:t>Footprint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</w:pPr>
            <w:r>
              <w:t>45 – 450</w:t>
            </w:r>
          </w:p>
        </w:tc>
        <w:tc>
          <w:tcPr>
            <w:tcW w:w="1508" w:type="dxa"/>
            <w:tcBorders>
              <w:top w:val="single" w:sz="2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hideMark/>
          </w:tcPr>
          <w:p w:rsidR="001A3BAB" w:rsidRDefault="001A3BAB" w:rsidP="00843EFE">
            <w:pPr>
              <w:keepNext/>
              <w:jc w:val="left"/>
            </w:pPr>
            <w:r>
              <w:t>As case label</w:t>
            </w:r>
          </w:p>
        </w:tc>
      </w:tr>
    </w:tbl>
    <w:p w:rsidR="001A3BAB" w:rsidRDefault="001A3BAB" w:rsidP="001A3BAB">
      <w:pPr>
        <w:pStyle w:val="ListParagraph"/>
      </w:pPr>
    </w:p>
    <w:p w:rsidR="00F87C3C" w:rsidRDefault="001A3BAB"/>
    <w:sectPr w:rsidR="00F87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57EB0"/>
    <w:multiLevelType w:val="hybridMultilevel"/>
    <w:tmpl w:val="08306A94"/>
    <w:lvl w:ilvl="0" w:tplc="C63C7552">
      <w:start w:val="1"/>
      <w:numFmt w:val="decimal"/>
      <w:pStyle w:val="Heading3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4015D"/>
    <w:multiLevelType w:val="hybridMultilevel"/>
    <w:tmpl w:val="826E4B46"/>
    <w:lvl w:ilvl="0" w:tplc="8B46653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31C29"/>
    <w:multiLevelType w:val="hybridMultilevel"/>
    <w:tmpl w:val="31FE6480"/>
    <w:lvl w:ilvl="0" w:tplc="D60AEC7C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AB"/>
    <w:rsid w:val="001A3BAB"/>
    <w:rsid w:val="001A5808"/>
    <w:rsid w:val="00417C9C"/>
    <w:rsid w:val="00460EA0"/>
    <w:rsid w:val="004F7EE1"/>
    <w:rsid w:val="005723EC"/>
    <w:rsid w:val="006E5809"/>
    <w:rsid w:val="008E0F65"/>
    <w:rsid w:val="00A65E57"/>
    <w:rsid w:val="00BC75BD"/>
    <w:rsid w:val="00C3201E"/>
    <w:rsid w:val="00DE1517"/>
    <w:rsid w:val="00E6033F"/>
    <w:rsid w:val="00FC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9B19"/>
  <w15:chartTrackingRefBased/>
  <w15:docId w15:val="{EC5D46F2-AD41-4689-B37C-657F939D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AP"/>
    <w:qFormat/>
    <w:rsid w:val="001A3BAB"/>
    <w:pPr>
      <w:spacing w:line="240" w:lineRule="auto"/>
      <w:jc w:val="both"/>
    </w:pPr>
    <w:rPr>
      <w:rFonts w:ascii="Arial" w:hAnsi="Arial"/>
    </w:rPr>
  </w:style>
  <w:style w:type="paragraph" w:styleId="Heading1">
    <w:name w:val="heading 1"/>
    <w:aliases w:val="Heading 1 AP"/>
    <w:basedOn w:val="Normal"/>
    <w:next w:val="Normal"/>
    <w:link w:val="Heading1Char"/>
    <w:uiPriority w:val="9"/>
    <w:qFormat/>
    <w:rsid w:val="005723EC"/>
    <w:pPr>
      <w:keepNext/>
      <w:keepLines/>
      <w:numPr>
        <w:numId w:val="1"/>
      </w:numPr>
      <w:spacing w:before="36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aliases w:val="Heading 2 AP"/>
    <w:basedOn w:val="Normal"/>
    <w:next w:val="Normal"/>
    <w:link w:val="Heading2Char"/>
    <w:uiPriority w:val="9"/>
    <w:unhideWhenUsed/>
    <w:qFormat/>
    <w:rsid w:val="005723EC"/>
    <w:pPr>
      <w:keepNext/>
      <w:keepLines/>
      <w:numPr>
        <w:numId w:val="2"/>
      </w:numPr>
      <w:spacing w:before="16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aliases w:val="Heading 3 AP"/>
    <w:basedOn w:val="Normal"/>
    <w:next w:val="Normal"/>
    <w:link w:val="Heading3Char"/>
    <w:uiPriority w:val="9"/>
    <w:unhideWhenUsed/>
    <w:qFormat/>
    <w:rsid w:val="005723EC"/>
    <w:pPr>
      <w:keepNext/>
      <w:keepLines/>
      <w:numPr>
        <w:numId w:val="3"/>
      </w:numPr>
      <w:spacing w:before="160" w:after="12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AP Char"/>
    <w:basedOn w:val="DefaultParagraphFont"/>
    <w:link w:val="Heading1"/>
    <w:uiPriority w:val="9"/>
    <w:rsid w:val="005723EC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aliases w:val="Heading 2 AP Char"/>
    <w:basedOn w:val="DefaultParagraphFont"/>
    <w:link w:val="Heading2"/>
    <w:uiPriority w:val="9"/>
    <w:rsid w:val="005723EC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aliases w:val="Heading 3 AP Char"/>
    <w:basedOn w:val="DefaultParagraphFont"/>
    <w:link w:val="Heading3"/>
    <w:uiPriority w:val="9"/>
    <w:rsid w:val="005723EC"/>
    <w:rPr>
      <w:rFonts w:ascii="Arial" w:eastAsiaTheme="majorEastAsia" w:hAnsi="Arial" w:cstheme="majorBidi"/>
      <w:b/>
      <w:sz w:val="24"/>
      <w:szCs w:val="24"/>
    </w:rPr>
  </w:style>
  <w:style w:type="paragraph" w:customStyle="1" w:styleId="APSubheading">
    <w:name w:val="AP Subheading"/>
    <w:basedOn w:val="Normal"/>
    <w:link w:val="APSubheadingChar"/>
    <w:qFormat/>
    <w:rsid w:val="005723EC"/>
    <w:pPr>
      <w:spacing w:before="120" w:after="280"/>
    </w:pPr>
    <w:rPr>
      <w:b/>
      <w:sz w:val="24"/>
    </w:rPr>
  </w:style>
  <w:style w:type="character" w:customStyle="1" w:styleId="APSubheadingChar">
    <w:name w:val="AP Subheading Char"/>
    <w:basedOn w:val="DefaultParagraphFont"/>
    <w:link w:val="APSubheading"/>
    <w:rsid w:val="005723EC"/>
    <w:rPr>
      <w:rFonts w:ascii="Arial" w:hAnsi="Arial"/>
      <w:b/>
      <w:sz w:val="24"/>
    </w:rPr>
  </w:style>
  <w:style w:type="paragraph" w:styleId="Caption">
    <w:name w:val="caption"/>
    <w:aliases w:val="AP Caption"/>
    <w:basedOn w:val="Normal"/>
    <w:next w:val="Normal"/>
    <w:uiPriority w:val="35"/>
    <w:unhideWhenUsed/>
    <w:qFormat/>
    <w:rsid w:val="00417C9C"/>
    <w:pPr>
      <w:spacing w:after="200"/>
    </w:pPr>
    <w:rPr>
      <w:iCs/>
      <w:color w:val="000000" w:themeColor="text1"/>
      <w:szCs w:val="18"/>
    </w:rPr>
  </w:style>
  <w:style w:type="paragraph" w:styleId="ListParagraph">
    <w:name w:val="List Paragraph"/>
    <w:basedOn w:val="Normal"/>
    <w:uiPriority w:val="34"/>
    <w:qFormat/>
    <w:rsid w:val="001A3BAB"/>
    <w:pPr>
      <w:ind w:left="720"/>
      <w:contextualSpacing/>
    </w:pPr>
  </w:style>
  <w:style w:type="table" w:styleId="TableGrid">
    <w:name w:val="Table Grid"/>
    <w:basedOn w:val="TableNormal"/>
    <w:uiPriority w:val="39"/>
    <w:rsid w:val="001A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Parkin</dc:creator>
  <cp:keywords/>
  <dc:description/>
  <cp:lastModifiedBy>Anna Parkin</cp:lastModifiedBy>
  <cp:revision>1</cp:revision>
  <dcterms:created xsi:type="dcterms:W3CDTF">2018-01-16T20:27:00Z</dcterms:created>
  <dcterms:modified xsi:type="dcterms:W3CDTF">2018-01-16T20:33:00Z</dcterms:modified>
</cp:coreProperties>
</file>