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201" w:rsidRDefault="006E3051" w:rsidP="003033A0">
      <w:pPr>
        <w:jc w:val="both"/>
      </w:pPr>
      <w:r>
        <w:rPr>
          <w:b/>
          <w:u w:val="single"/>
        </w:rPr>
        <w:t xml:space="preserve">Info for readme file to accompany </w:t>
      </w:r>
      <w:r w:rsidR="00540862">
        <w:rPr>
          <w:b/>
          <w:i/>
          <w:u w:val="single"/>
        </w:rPr>
        <w:t>Journal of Nutrition</w:t>
      </w:r>
      <w:r w:rsidR="00471899">
        <w:rPr>
          <w:b/>
          <w:i/>
          <w:u w:val="single"/>
        </w:rPr>
        <w:t xml:space="preserve"> </w:t>
      </w:r>
      <w:r w:rsidR="00AA7B60" w:rsidRPr="00AA7B60">
        <w:rPr>
          <w:b/>
          <w:u w:val="single"/>
        </w:rPr>
        <w:t>data</w:t>
      </w:r>
      <w:r w:rsidR="00AA7B60">
        <w:rPr>
          <w:b/>
          <w:u w:val="single"/>
        </w:rPr>
        <w:t xml:space="preserve"> archive</w:t>
      </w:r>
      <w:r w:rsidR="00CB6815">
        <w:rPr>
          <w:b/>
          <w:u w:val="single"/>
        </w:rPr>
        <w:t>:</w:t>
      </w:r>
    </w:p>
    <w:p w:rsidR="00380201" w:rsidRDefault="00380201" w:rsidP="003033A0">
      <w:pPr>
        <w:jc w:val="both"/>
      </w:pPr>
    </w:p>
    <w:p w:rsidR="00B147B1" w:rsidRDefault="00380201" w:rsidP="003033A0">
      <w:pPr>
        <w:jc w:val="both"/>
      </w:pPr>
      <w:r>
        <w:t>Archived data pertaining to article:</w:t>
      </w:r>
      <w:r w:rsidR="00DC10F4">
        <w:t xml:space="preserve"> </w:t>
      </w:r>
      <w:r w:rsidR="00471899" w:rsidRPr="00471899">
        <w:t xml:space="preserve">Edinburgh, R.M., Hengist, A., Smith, H.A., Travers, R.L., Betts, J.A., Thompson, D., </w:t>
      </w:r>
      <w:proofErr w:type="spellStart"/>
      <w:r w:rsidR="00471899" w:rsidRPr="00471899">
        <w:t>Walhin</w:t>
      </w:r>
      <w:proofErr w:type="spellEnd"/>
      <w:r w:rsidR="00471899" w:rsidRPr="00471899">
        <w:t>, J-P., Wallis, G.A., Hamilton, L.D., Stevenson, E.J., Tipton, K.D., Gonzalez, J.T. (201</w:t>
      </w:r>
      <w:r w:rsidR="00B147B1">
        <w:t>9</w:t>
      </w:r>
      <w:r w:rsidR="00471899" w:rsidRPr="00471899">
        <w:t xml:space="preserve">). </w:t>
      </w:r>
      <w:r w:rsidR="00B147B1" w:rsidRPr="00B147B1">
        <w:t xml:space="preserve">Skipping breakfast before exercise creates a more negative 24-h energy balance: A randomized controlled trial in healthy physically active young men. </w:t>
      </w:r>
      <w:r w:rsidR="00B147B1">
        <w:rPr>
          <w:b/>
          <w:i/>
        </w:rPr>
        <w:t>Journal of Nutrition</w:t>
      </w:r>
    </w:p>
    <w:p w:rsidR="00CF0EE8" w:rsidRDefault="00471899" w:rsidP="003033A0">
      <w:pPr>
        <w:jc w:val="both"/>
        <w:rPr>
          <w:color w:val="000000"/>
        </w:rPr>
      </w:pPr>
      <w:r w:rsidRPr="001E0F4E">
        <w:rPr>
          <w:b/>
        </w:rPr>
        <w:t>Trial Registration:</w:t>
      </w:r>
      <w:r w:rsidRPr="00471899">
        <w:t xml:space="preserve"> https://clinicaltrials.gov/ [</w:t>
      </w:r>
      <w:r w:rsidR="00B147B1" w:rsidRPr="00B147B1">
        <w:t>Number: NCT02258399</w:t>
      </w:r>
      <w:r w:rsidRPr="00471899">
        <w:t>]</w:t>
      </w:r>
    </w:p>
    <w:p w:rsidR="00471899" w:rsidRPr="00471899" w:rsidRDefault="00471899" w:rsidP="003033A0">
      <w:pPr>
        <w:jc w:val="both"/>
      </w:pPr>
    </w:p>
    <w:p w:rsidR="00471899" w:rsidRDefault="00AF2AC2" w:rsidP="003033A0">
      <w:pPr>
        <w:jc w:val="both"/>
      </w:pPr>
      <w:r>
        <w:t xml:space="preserve">As described in the </w:t>
      </w:r>
      <w:r w:rsidR="00DC10F4">
        <w:t>manuscript</w:t>
      </w:r>
      <w:r>
        <w:t xml:space="preserve">, </w:t>
      </w:r>
      <w:r w:rsidR="00471899">
        <w:t>t</w:t>
      </w:r>
      <w:r w:rsidR="00471899" w:rsidRPr="00471899">
        <w:t xml:space="preserve">his study was a randomized cross-over design </w:t>
      </w:r>
      <w:r w:rsidR="00471899">
        <w:t>where twelve healthy men completed p</w:t>
      </w:r>
      <w:r w:rsidR="00471899" w:rsidRPr="00471899">
        <w:t>reliminary testing followed by three trials (separated by &gt; 7 d), namely, breakfast-rest (BR), breakfast-exercise (BE) and overnight fasted-exercise (FE). For all trials participants arrived at the laboratory after a 12 to 14-h overnight fast. In BR, a porridge breakfast was consumed, followed by 3 h of rest, and then a 2-h oral glucose tolerance test (OGTT). In BE, the same breakfast was consumed, before 2 h rest and 60 min of cycling, prior to the OGTT. In FE, breakfast was omitted but the trial otherwise replicated BE.</w:t>
      </w:r>
      <w:r w:rsidR="00471899">
        <w:t xml:space="preserve"> </w:t>
      </w:r>
      <w:r w:rsidR="00B147B1" w:rsidRPr="00B147B1">
        <w:rPr>
          <w:rFonts w:cs="Arial"/>
          <w:color w:val="000000" w:themeColor="text1"/>
        </w:rPr>
        <w:t>After the OGTT, participants were provided an ad libitum lunch (within-lab) and a researcher-weighed food package, for consumption over the remaining 24-h trial (free-living). Daily energy expenditure was assessed via indirect calorimetry (for within-laboratory components) and heart-rate with accelerometry (free-living after leaving the laboratory).</w:t>
      </w:r>
    </w:p>
    <w:p w:rsidR="002251CF" w:rsidRDefault="002251CF" w:rsidP="003033A0">
      <w:pPr>
        <w:jc w:val="both"/>
      </w:pPr>
    </w:p>
    <w:p w:rsidR="005D75C6" w:rsidRDefault="005D75C6" w:rsidP="003033A0">
      <w:pPr>
        <w:jc w:val="both"/>
      </w:pPr>
      <w:r>
        <w:t>BODY MASS</w:t>
      </w:r>
    </w:p>
    <w:p w:rsidR="00C6178C" w:rsidRDefault="005D75C6" w:rsidP="003033A0">
      <w:pPr>
        <w:jc w:val="both"/>
      </w:pPr>
      <w:r>
        <w:t>The weight of each pa</w:t>
      </w:r>
      <w:r w:rsidR="00594301">
        <w:t>rticipant</w:t>
      </w:r>
      <w:r>
        <w:t xml:space="preserve"> was measured to the </w:t>
      </w:r>
      <w:r w:rsidRPr="00C344EB">
        <w:rPr>
          <w:color w:val="000000" w:themeColor="text1"/>
        </w:rPr>
        <w:t xml:space="preserve">nearest </w:t>
      </w:r>
      <w:r>
        <w:rPr>
          <w:color w:val="000000" w:themeColor="text1"/>
        </w:rPr>
        <w:t>100 g</w:t>
      </w:r>
      <w:r w:rsidRPr="00C344EB">
        <w:rPr>
          <w:color w:val="000000" w:themeColor="text1"/>
        </w:rPr>
        <w:t xml:space="preserve"> </w:t>
      </w:r>
      <w:r>
        <w:t>using electronic scales (</w:t>
      </w:r>
      <w:r w:rsidRPr="000B6C69">
        <w:rPr>
          <w:color w:val="000000" w:themeColor="text1"/>
        </w:rPr>
        <w:t>TANITA</w:t>
      </w:r>
      <w:r>
        <w:rPr>
          <w:color w:val="000000" w:themeColor="text1"/>
        </w:rPr>
        <w:t xml:space="preserve"> Inner Scan Body Composition Monitor-BC453</w:t>
      </w:r>
      <w:r w:rsidRPr="000B6C69">
        <w:rPr>
          <w:color w:val="000000" w:themeColor="text1"/>
        </w:rPr>
        <w:t xml:space="preserve">, Tokyo) </w:t>
      </w:r>
      <w:r>
        <w:t xml:space="preserve">whilst they wore minimal clothing (lightweight shorts </w:t>
      </w:r>
      <w:r w:rsidR="00163651">
        <w:t xml:space="preserve">and t-shirt </w:t>
      </w:r>
      <w:r>
        <w:t>only)</w:t>
      </w:r>
      <w:r w:rsidR="00163651">
        <w:t xml:space="preserve">. </w:t>
      </w:r>
    </w:p>
    <w:p w:rsidR="00471899" w:rsidRDefault="00471899" w:rsidP="003033A0">
      <w:pPr>
        <w:jc w:val="both"/>
      </w:pPr>
    </w:p>
    <w:p w:rsidR="00471899" w:rsidRDefault="00471899" w:rsidP="003033A0">
      <w:pPr>
        <w:jc w:val="both"/>
      </w:pPr>
      <w:r>
        <w:t>HEIGHT</w:t>
      </w:r>
    </w:p>
    <w:p w:rsidR="00471899" w:rsidRDefault="00471899" w:rsidP="003033A0">
      <w:pPr>
        <w:jc w:val="both"/>
        <w:rPr>
          <w:color w:val="000000" w:themeColor="text1"/>
        </w:rPr>
      </w:pPr>
      <w:r>
        <w:t xml:space="preserve">The height of each participant was measured as the distance from the floor (feet against the wall, barefoot, ankles together) to the top of the head (against the wall, looking ahead) after maximal inspiration and straight legs, to the nearest 0.1 cm using a wall-mounted </w:t>
      </w:r>
      <w:proofErr w:type="spellStart"/>
      <w:r w:rsidRPr="00E67BF2">
        <w:rPr>
          <w:color w:val="000000" w:themeColor="text1"/>
        </w:rPr>
        <w:t>stadiometer</w:t>
      </w:r>
      <w:proofErr w:type="spellEnd"/>
      <w:r w:rsidRPr="00E67BF2">
        <w:rPr>
          <w:color w:val="000000" w:themeColor="text1"/>
        </w:rPr>
        <w:t xml:space="preserve"> (</w:t>
      </w:r>
      <w:proofErr w:type="spellStart"/>
      <w:r>
        <w:rPr>
          <w:color w:val="000000" w:themeColor="text1"/>
        </w:rPr>
        <w:t>Holtain</w:t>
      </w:r>
      <w:proofErr w:type="spellEnd"/>
      <w:r>
        <w:rPr>
          <w:color w:val="000000" w:themeColor="text1"/>
        </w:rPr>
        <w:t xml:space="preserve"> Ltd., UK</w:t>
      </w:r>
      <w:r w:rsidRPr="00E67BF2">
        <w:rPr>
          <w:color w:val="000000" w:themeColor="text1"/>
        </w:rPr>
        <w:t>).</w:t>
      </w:r>
    </w:p>
    <w:p w:rsidR="00471899" w:rsidRDefault="00471899" w:rsidP="003033A0">
      <w:pPr>
        <w:jc w:val="both"/>
        <w:rPr>
          <w:color w:val="000000" w:themeColor="text1"/>
        </w:rPr>
      </w:pPr>
    </w:p>
    <w:p w:rsidR="00471899" w:rsidRDefault="00471899" w:rsidP="003033A0">
      <w:pPr>
        <w:jc w:val="both"/>
        <w:rPr>
          <w:color w:val="000000" w:themeColor="text1"/>
        </w:rPr>
      </w:pPr>
      <w:r>
        <w:rPr>
          <w:color w:val="000000" w:themeColor="text1"/>
        </w:rPr>
        <w:t>BODY MASS INDEX</w:t>
      </w:r>
    </w:p>
    <w:p w:rsidR="00471899" w:rsidRDefault="00471899" w:rsidP="003033A0">
      <w:pPr>
        <w:jc w:val="both"/>
        <w:rPr>
          <w:color w:val="000000" w:themeColor="text1"/>
        </w:rPr>
      </w:pPr>
      <w:r>
        <w:rPr>
          <w:color w:val="000000" w:themeColor="text1"/>
        </w:rPr>
        <w:t>Body mass index was body mass (kilograms) divided by height (m) squared.</w:t>
      </w:r>
    </w:p>
    <w:p w:rsidR="00471899" w:rsidRDefault="00471899" w:rsidP="003033A0">
      <w:pPr>
        <w:jc w:val="both"/>
        <w:rPr>
          <w:color w:val="000000" w:themeColor="text1"/>
        </w:rPr>
      </w:pPr>
    </w:p>
    <w:p w:rsidR="00471899" w:rsidRDefault="00471899" w:rsidP="003033A0">
      <w:pPr>
        <w:jc w:val="both"/>
        <w:rPr>
          <w:color w:val="000000" w:themeColor="text1"/>
        </w:rPr>
      </w:pPr>
      <w:r>
        <w:rPr>
          <w:color w:val="000000" w:themeColor="text1"/>
        </w:rPr>
        <w:t>DUAL ENERGY X-RAY ABSORPTIOMETRY (DEXA)</w:t>
      </w:r>
    </w:p>
    <w:p w:rsidR="00471899" w:rsidRDefault="00471899" w:rsidP="003033A0">
      <w:pPr>
        <w:jc w:val="both"/>
        <w:rPr>
          <w:color w:val="000000" w:themeColor="text1"/>
        </w:rPr>
      </w:pPr>
      <w:r>
        <w:rPr>
          <w:color w:val="000000" w:themeColor="text1"/>
        </w:rPr>
        <w:t>A DEXA</w:t>
      </w:r>
      <w:r w:rsidRPr="00471899">
        <w:rPr>
          <w:color w:val="000000" w:themeColor="text1"/>
        </w:rPr>
        <w:t xml:space="preserve"> scan was completed to quantify fat- and fat free-mass (Discovery, </w:t>
      </w:r>
      <w:proofErr w:type="spellStart"/>
      <w:r w:rsidRPr="00471899">
        <w:rPr>
          <w:color w:val="000000" w:themeColor="text1"/>
        </w:rPr>
        <w:t>Hologic</w:t>
      </w:r>
      <w:proofErr w:type="spellEnd"/>
      <w:r w:rsidRPr="00471899">
        <w:rPr>
          <w:color w:val="000000" w:themeColor="text1"/>
        </w:rPr>
        <w:t xml:space="preserve">, Bedford, UK). </w:t>
      </w:r>
      <w:r>
        <w:rPr>
          <w:color w:val="000000" w:themeColor="text1"/>
        </w:rPr>
        <w:t>Participants</w:t>
      </w:r>
      <w:r w:rsidRPr="00471899">
        <w:rPr>
          <w:color w:val="000000" w:themeColor="text1"/>
        </w:rPr>
        <w:t xml:space="preserve"> were positioned centrally on the scanning bed (supine position), with their legs apart and feet turned inwards and arms as wide as possible with their hands in a mid-prone position. This was to ensure that the gap between their arms and trunk was sufficient to allow regions of interest to be easily defined on the analysis software (QDR for Windows, </w:t>
      </w:r>
      <w:proofErr w:type="spellStart"/>
      <w:r w:rsidRPr="00471899">
        <w:rPr>
          <w:color w:val="000000" w:themeColor="text1"/>
        </w:rPr>
        <w:t>Hologic</w:t>
      </w:r>
      <w:proofErr w:type="spellEnd"/>
      <w:r w:rsidRPr="00471899">
        <w:rPr>
          <w:color w:val="000000" w:themeColor="text1"/>
        </w:rPr>
        <w:t xml:space="preserve">, UK). </w:t>
      </w:r>
      <w:r w:rsidR="000533A7">
        <w:rPr>
          <w:color w:val="000000" w:themeColor="text1"/>
        </w:rPr>
        <w:t>S</w:t>
      </w:r>
      <w:r w:rsidRPr="00471899">
        <w:rPr>
          <w:color w:val="000000" w:themeColor="text1"/>
        </w:rPr>
        <w:t>cans were analysed for fat- and fat-free mass (nearest 0.1 kg), the overall percentage body fat and fat mass index (DEXA-derived fat mass [kg] divided by the square of the participant’s height [m]).</w:t>
      </w:r>
    </w:p>
    <w:p w:rsidR="005A22C4" w:rsidRDefault="005A22C4" w:rsidP="003033A0">
      <w:pPr>
        <w:tabs>
          <w:tab w:val="left" w:pos="3119"/>
        </w:tabs>
        <w:jc w:val="both"/>
        <w:rPr>
          <w:color w:val="000000" w:themeColor="text1"/>
        </w:rPr>
      </w:pPr>
    </w:p>
    <w:p w:rsidR="005A22C4" w:rsidRDefault="005A22C4" w:rsidP="003033A0">
      <w:pPr>
        <w:tabs>
          <w:tab w:val="left" w:pos="3119"/>
        </w:tabs>
        <w:jc w:val="both"/>
        <w:rPr>
          <w:color w:val="000000" w:themeColor="text1"/>
        </w:rPr>
      </w:pPr>
      <w:r>
        <w:rPr>
          <w:color w:val="000000" w:themeColor="text1"/>
        </w:rPr>
        <w:t>MAXIMAL OXYGEN UPTAKE TEST</w:t>
      </w:r>
    </w:p>
    <w:p w:rsidR="000F2769" w:rsidRDefault="000F2769" w:rsidP="003033A0">
      <w:pPr>
        <w:autoSpaceDE w:val="0"/>
        <w:autoSpaceDN w:val="0"/>
        <w:adjustRightInd w:val="0"/>
        <w:jc w:val="both"/>
        <w:rPr>
          <w:lang w:eastAsia="en-GB"/>
        </w:rPr>
      </w:pPr>
      <w:r>
        <w:rPr>
          <w:lang w:eastAsia="en-GB"/>
        </w:rPr>
        <w:t>Participants</w:t>
      </w:r>
      <w:r w:rsidRPr="000F2769">
        <w:rPr>
          <w:lang w:eastAsia="en-GB"/>
        </w:rPr>
        <w:t xml:space="preserve"> completed </w:t>
      </w:r>
      <w:r>
        <w:rPr>
          <w:lang w:eastAsia="en-GB"/>
        </w:rPr>
        <w:t xml:space="preserve">a maximal oxygen uptake test before the first main trial, </w:t>
      </w:r>
      <w:r w:rsidRPr="000F2769">
        <w:rPr>
          <w:lang w:eastAsia="en-GB"/>
        </w:rPr>
        <w:t>at a self-selected cadence on an electronically-braked e</w:t>
      </w:r>
      <w:r>
        <w:rPr>
          <w:lang w:eastAsia="en-GB"/>
        </w:rPr>
        <w:t>rgometer (Excalibur Sport, Lode</w:t>
      </w:r>
      <w:r w:rsidRPr="004440D8">
        <w:rPr>
          <w:rFonts w:ascii="Arial" w:hAnsi="Arial" w:cs="Arial"/>
          <w:lang w:val="en-US"/>
        </w:rPr>
        <w:sym w:font="Symbol" w:char="F0E2"/>
      </w:r>
      <w:r w:rsidRPr="000F2769">
        <w:rPr>
          <w:lang w:eastAsia="en-GB"/>
        </w:rPr>
        <w:t xml:space="preserve">, Groningen, Netherlands). The initial power output was set at 50 W and was increased </w:t>
      </w:r>
      <w:r w:rsidRPr="000F2769">
        <w:rPr>
          <w:lang w:eastAsia="en-GB"/>
        </w:rPr>
        <w:lastRenderedPageBreak/>
        <w:t xml:space="preserve">by 50 W every four minutes, for four stages. Thereafter, the power output was increased by 20 W every minute until volitional exhaustion. </w:t>
      </w:r>
      <w:r w:rsidR="00594301">
        <w:rPr>
          <w:lang w:eastAsia="en-GB"/>
        </w:rPr>
        <w:t>B</w:t>
      </w:r>
      <w:r w:rsidRPr="000F2769">
        <w:rPr>
          <w:lang w:eastAsia="en-GB"/>
        </w:rPr>
        <w:t xml:space="preserve">reath-by-breath measurements were recorded using an online gas analysis system (TrueOne2400, </w:t>
      </w:r>
      <w:proofErr w:type="spellStart"/>
      <w:r w:rsidRPr="000F2769">
        <w:rPr>
          <w:lang w:eastAsia="en-GB"/>
        </w:rPr>
        <w:t>ParvoMedics</w:t>
      </w:r>
      <w:proofErr w:type="spellEnd"/>
      <w:r w:rsidRPr="000F2769">
        <w:rPr>
          <w:lang w:eastAsia="en-GB"/>
        </w:rPr>
        <w:t xml:space="preserve">, </w:t>
      </w:r>
      <w:proofErr w:type="gramStart"/>
      <w:r w:rsidRPr="000F2769">
        <w:rPr>
          <w:lang w:eastAsia="en-GB"/>
        </w:rPr>
        <w:t>Sandy</w:t>
      </w:r>
      <w:proofErr w:type="gramEnd"/>
      <w:r w:rsidRPr="000F2769">
        <w:rPr>
          <w:lang w:eastAsia="en-GB"/>
        </w:rPr>
        <w:t>, USA). The volume and gas analysers used were calibrated with a 3 L calibration syringe (Hans Rudolph, Kansas City, USA) and known concentrations of a calibration gas (16.04 % O2; 5.06 % CO2) respectively.</w:t>
      </w:r>
    </w:p>
    <w:p w:rsidR="00E77BD4" w:rsidRDefault="00E77BD4" w:rsidP="003033A0">
      <w:pPr>
        <w:autoSpaceDE w:val="0"/>
        <w:autoSpaceDN w:val="0"/>
        <w:adjustRightInd w:val="0"/>
        <w:jc w:val="both"/>
        <w:rPr>
          <w:lang w:eastAsia="en-GB"/>
        </w:rPr>
      </w:pPr>
    </w:p>
    <w:p w:rsidR="00E77BD4" w:rsidRPr="003033A0" w:rsidRDefault="00471899" w:rsidP="003033A0">
      <w:pPr>
        <w:autoSpaceDE w:val="0"/>
        <w:autoSpaceDN w:val="0"/>
        <w:adjustRightInd w:val="0"/>
        <w:jc w:val="both"/>
        <w:rPr>
          <w:lang w:eastAsia="en-GB"/>
        </w:rPr>
      </w:pPr>
      <w:r w:rsidRPr="003033A0">
        <w:rPr>
          <w:lang w:eastAsia="en-GB"/>
        </w:rPr>
        <w:t>PEAK POWER OUTPUT (P</w:t>
      </w:r>
      <w:r w:rsidR="00E77BD4" w:rsidRPr="003033A0">
        <w:rPr>
          <w:lang w:eastAsia="en-GB"/>
        </w:rPr>
        <w:t>PO)</w:t>
      </w:r>
    </w:p>
    <w:p w:rsidR="00E77BD4" w:rsidRDefault="00471899" w:rsidP="003033A0">
      <w:pPr>
        <w:autoSpaceDE w:val="0"/>
        <w:autoSpaceDN w:val="0"/>
        <w:adjustRightInd w:val="0"/>
        <w:jc w:val="both"/>
        <w:rPr>
          <w:lang w:eastAsia="en-GB"/>
        </w:rPr>
      </w:pPr>
      <w:r>
        <w:rPr>
          <w:lang w:eastAsia="en-GB"/>
        </w:rPr>
        <w:t xml:space="preserve">Peak </w:t>
      </w:r>
      <w:r w:rsidR="00DF6E44">
        <w:rPr>
          <w:lang w:eastAsia="en-GB"/>
        </w:rPr>
        <w:t>power o</w:t>
      </w:r>
      <w:r>
        <w:rPr>
          <w:lang w:eastAsia="en-GB"/>
        </w:rPr>
        <w:t>utput</w:t>
      </w:r>
      <w:r w:rsidR="00E77BD4" w:rsidRPr="00E77BD4">
        <w:rPr>
          <w:lang w:eastAsia="en-GB"/>
        </w:rPr>
        <w:t xml:space="preserve"> was the work rate of the last completed stage, plus the fraction of time in the final non-completed stage, multiplied by the work rate increment.</w:t>
      </w:r>
    </w:p>
    <w:p w:rsidR="00471899" w:rsidRDefault="00471899" w:rsidP="003033A0">
      <w:pPr>
        <w:autoSpaceDE w:val="0"/>
        <w:autoSpaceDN w:val="0"/>
        <w:adjustRightInd w:val="0"/>
        <w:jc w:val="both"/>
        <w:rPr>
          <w:i/>
          <w:lang w:eastAsia="en-GB"/>
        </w:rPr>
      </w:pPr>
    </w:p>
    <w:p w:rsidR="00E77BD4" w:rsidRPr="003033A0" w:rsidRDefault="00E77BD4" w:rsidP="003033A0">
      <w:pPr>
        <w:autoSpaceDE w:val="0"/>
        <w:autoSpaceDN w:val="0"/>
        <w:adjustRightInd w:val="0"/>
        <w:jc w:val="both"/>
        <w:rPr>
          <w:lang w:eastAsia="en-GB"/>
        </w:rPr>
      </w:pPr>
      <w:r w:rsidRPr="003033A0">
        <w:rPr>
          <w:lang w:eastAsia="en-GB"/>
        </w:rPr>
        <w:t>VO</w:t>
      </w:r>
      <w:r w:rsidRPr="003033A0">
        <w:rPr>
          <w:vertAlign w:val="subscript"/>
          <w:lang w:eastAsia="en-GB"/>
        </w:rPr>
        <w:t>2</w:t>
      </w:r>
      <w:r w:rsidRPr="003033A0">
        <w:rPr>
          <w:lang w:eastAsia="en-GB"/>
        </w:rPr>
        <w:t xml:space="preserve"> PEAK </w:t>
      </w:r>
    </w:p>
    <w:p w:rsidR="00E77BD4" w:rsidRDefault="00E77BD4" w:rsidP="003033A0">
      <w:pPr>
        <w:autoSpaceDE w:val="0"/>
        <w:autoSpaceDN w:val="0"/>
        <w:adjustRightInd w:val="0"/>
        <w:jc w:val="both"/>
        <w:rPr>
          <w:lang w:eastAsia="en-GB"/>
        </w:rPr>
      </w:pPr>
      <w:r w:rsidRPr="00E77BD4">
        <w:rPr>
          <w:lang w:eastAsia="en-GB"/>
        </w:rPr>
        <w:t>Peak oxygen uptake (VO2 peak) was taken as the highest average</w:t>
      </w:r>
      <w:r w:rsidR="00163651">
        <w:rPr>
          <w:lang w:eastAsia="en-GB"/>
        </w:rPr>
        <w:t xml:space="preserve"> </w:t>
      </w:r>
      <w:r w:rsidR="001632FA">
        <w:rPr>
          <w:lang w:eastAsia="en-GB"/>
        </w:rPr>
        <w:t xml:space="preserve">recorded </w:t>
      </w:r>
      <w:r w:rsidR="00163651">
        <w:rPr>
          <w:lang w:eastAsia="en-GB"/>
        </w:rPr>
        <w:t>oxygen uptake</w:t>
      </w:r>
      <w:r w:rsidRPr="00E77BD4">
        <w:rPr>
          <w:lang w:eastAsia="en-GB"/>
        </w:rPr>
        <w:t xml:space="preserve"> </w:t>
      </w:r>
      <w:r w:rsidR="001632FA">
        <w:rPr>
          <w:lang w:eastAsia="en-GB"/>
        </w:rPr>
        <w:t xml:space="preserve">value </w:t>
      </w:r>
      <w:r w:rsidRPr="00E77BD4">
        <w:rPr>
          <w:lang w:eastAsia="en-GB"/>
        </w:rPr>
        <w:t>over a rolling 30 second period.</w:t>
      </w:r>
    </w:p>
    <w:p w:rsidR="00E77BD4" w:rsidRDefault="00E77BD4" w:rsidP="003033A0">
      <w:pPr>
        <w:autoSpaceDE w:val="0"/>
        <w:autoSpaceDN w:val="0"/>
        <w:adjustRightInd w:val="0"/>
        <w:jc w:val="both"/>
        <w:rPr>
          <w:lang w:eastAsia="en-GB"/>
        </w:rPr>
      </w:pPr>
    </w:p>
    <w:p w:rsidR="00DF6E44" w:rsidRDefault="00DF6E44" w:rsidP="003033A0">
      <w:pPr>
        <w:jc w:val="both"/>
      </w:pPr>
      <w:r>
        <w:t>ENERGY INTAKE</w:t>
      </w:r>
    </w:p>
    <w:p w:rsidR="00DF6E44" w:rsidRDefault="00DF6E44" w:rsidP="003033A0">
      <w:pPr>
        <w:jc w:val="both"/>
      </w:pPr>
      <w:r w:rsidRPr="00DF6E44">
        <w:t>Prior to participation participants confirmed they had no allergies or aversions to any of the foods provided. The breakfast was 72 g of instant refined oats (</w:t>
      </w:r>
      <w:proofErr w:type="spellStart"/>
      <w:r w:rsidRPr="00DF6E44">
        <w:t>Oatso</w:t>
      </w:r>
      <w:proofErr w:type="spellEnd"/>
      <w:r w:rsidRPr="00DF6E44">
        <w:t xml:space="preserve"> Simple Golden Syrup, Quaker Oats) and 360 mL of semi-skimmed milk (Tesco), providing 431 kcal of energy ([1803 kJ]; 65 g CHO, 11 g FAT, 19 g PRO). Lunch was oats (Everyday Value® Tesco), whole milk (Tesco), maltodextrin, whey protein isolate (both </w:t>
      </w:r>
      <w:proofErr w:type="spellStart"/>
      <w:r w:rsidRPr="00DF6E44">
        <w:t>Myprotein</w:t>
      </w:r>
      <w:proofErr w:type="spellEnd"/>
      <w:r w:rsidRPr="00DF6E44">
        <w:t>, Northwich, UK), olive oil (Tesco), and water, designed to limit the degree of palatability, with the aim of preventing overconsumption (18). The meal provided 150 kcal of energy per 100 g of cooked food ([626 kJ]; 20 g CHO; 5 g FAT; 5 g PRO) and was terminated when participants said that they felt ‘comfortably full’. Remaining food was removed and weighed. The free-living food package comprised: [1] a pasta meal, containing pasta, tomato sauce, cheddar cheese and olive oil (Tesco, prepared by the researchers), providing 151 kcal of energy per 100 g of cooked food ([632 kJ]; 20 g CHO; 6 g FAT; 5 g PRO), [2] four 35 g snack bars (</w:t>
      </w:r>
      <w:proofErr w:type="spellStart"/>
      <w:r w:rsidRPr="00DF6E44">
        <w:t>GoAhead</w:t>
      </w:r>
      <w:proofErr w:type="spellEnd"/>
      <w:r w:rsidRPr="00DF6E44">
        <w:t>®; 367 kcal [1536 kJ] per 100 g; 74 g CHO, 8 g FAT; 3 g PRO) and [3] two 180 mL chocolate milk flavour drinks (Mars® Milk; 63 kcal [264 kJ] per 100 mL; 10 g CHO; 2 g FAT; 3 g PRO). Participants were instructed to eat until they were ‘comfortably full’, not to eat or drink anything not provided by this food package and to bring any remaining food back to the laboratory the following morning. The carbohydrate, fat and protein intake was taken as grams provided (cooked weight) minus grams remaining.</w:t>
      </w:r>
    </w:p>
    <w:p w:rsidR="00DF6E44" w:rsidRDefault="00DF6E44" w:rsidP="003033A0">
      <w:pPr>
        <w:jc w:val="both"/>
      </w:pPr>
    </w:p>
    <w:p w:rsidR="00DF6E44" w:rsidRDefault="00DF6E44" w:rsidP="003033A0">
      <w:pPr>
        <w:jc w:val="both"/>
      </w:pPr>
      <w:r>
        <w:t>WITHIN-LAB SUBSTRATE OXIDATION and ENERGY EXPENDITURE</w:t>
      </w:r>
    </w:p>
    <w:p w:rsidR="00DF6E44" w:rsidRPr="003033A0" w:rsidRDefault="00DF6E44" w:rsidP="00DF6E44">
      <w:pPr>
        <w:pStyle w:val="Body"/>
        <w:spacing w:after="0" w:line="240" w:lineRule="auto"/>
        <w:jc w:val="both"/>
        <w:rPr>
          <w:rFonts w:ascii="Times New Roman" w:hAnsi="Times New Roman" w:cs="Times New Roman"/>
          <w:lang w:val="en-US"/>
        </w:rPr>
      </w:pPr>
      <w:r>
        <w:rPr>
          <w:rFonts w:ascii="Times New Roman" w:hAnsi="Times New Roman" w:cs="Times New Roman"/>
        </w:rPr>
        <w:t>Within-lab d</w:t>
      </w:r>
      <w:r w:rsidRPr="003033A0">
        <w:rPr>
          <w:rFonts w:ascii="Times New Roman" w:hAnsi="Times New Roman" w:cs="Times New Roman"/>
        </w:rPr>
        <w:t>uring rest and exercise, Douglas bags were used to collect samples of expired air to enable detection of small changes in substrate utilisation rat</w:t>
      </w:r>
      <w:r>
        <w:rPr>
          <w:rFonts w:ascii="Times New Roman" w:hAnsi="Times New Roman" w:cs="Times New Roman"/>
        </w:rPr>
        <w:t>es and energy expenditure.</w:t>
      </w:r>
      <w:r w:rsidRPr="003033A0">
        <w:rPr>
          <w:rFonts w:ascii="Times New Roman" w:hAnsi="Times New Roman" w:cs="Times New Roman"/>
        </w:rPr>
        <w:t xml:space="preserve"> </w:t>
      </w:r>
      <w:r w:rsidRPr="003033A0">
        <w:rPr>
          <w:rFonts w:ascii="Times New Roman" w:hAnsi="Times New Roman" w:cs="Times New Roman"/>
          <w:lang w:val="en-US"/>
        </w:rPr>
        <w:t>The sensor (</w:t>
      </w:r>
      <w:r w:rsidRPr="003033A0">
        <w:rPr>
          <w:rFonts w:ascii="Times New Roman" w:hAnsi="Times New Roman" w:cs="Times New Roman"/>
        </w:rPr>
        <w:t>Mini MP 5200, Servomex Group Ltd., Crowborough, UK</w:t>
      </w:r>
      <w:r w:rsidRPr="003033A0">
        <w:rPr>
          <w:rFonts w:ascii="Times New Roman" w:hAnsi="Times New Roman" w:cs="Times New Roman"/>
          <w:lang w:val="en-US"/>
        </w:rPr>
        <w:t xml:space="preserve">) </w:t>
      </w:r>
      <w:r w:rsidRPr="003033A0">
        <w:rPr>
          <w:rFonts w:ascii="Times New Roman" w:hAnsi="Times New Roman" w:cs="Times New Roman"/>
        </w:rPr>
        <w:t>was turned on 60 min prior to testing to allow for the temperature of the O</w:t>
      </w:r>
      <w:r w:rsidRPr="003033A0">
        <w:rPr>
          <w:rFonts w:ascii="Times New Roman" w:hAnsi="Times New Roman" w:cs="Times New Roman"/>
          <w:vertAlign w:val="subscript"/>
        </w:rPr>
        <w:t>2</w:t>
      </w:r>
      <w:r w:rsidRPr="003033A0">
        <w:rPr>
          <w:rFonts w:ascii="Times New Roman" w:hAnsi="Times New Roman" w:cs="Times New Roman"/>
        </w:rPr>
        <w:t xml:space="preserve"> and CO</w:t>
      </w:r>
      <w:r w:rsidRPr="003033A0">
        <w:rPr>
          <w:rFonts w:ascii="Times New Roman" w:hAnsi="Times New Roman" w:cs="Times New Roman"/>
          <w:vertAlign w:val="subscript"/>
        </w:rPr>
        <w:t>2</w:t>
      </w:r>
      <w:r w:rsidRPr="003033A0">
        <w:rPr>
          <w:rFonts w:ascii="Times New Roman" w:hAnsi="Times New Roman" w:cs="Times New Roman"/>
        </w:rPr>
        <w:t xml:space="preserve"> sensors to stabilise and </w:t>
      </w:r>
      <w:r w:rsidRPr="003033A0">
        <w:rPr>
          <w:rFonts w:ascii="Times New Roman" w:hAnsi="Times New Roman" w:cs="Times New Roman"/>
          <w:lang w:val="en-US"/>
        </w:rPr>
        <w:t>was then calibrated using a two-point calibration, with concentrations of low (99.998 % Nitrogen, 0 % O</w:t>
      </w:r>
      <w:r w:rsidRPr="003033A0">
        <w:rPr>
          <w:rFonts w:ascii="Times New Roman" w:hAnsi="Times New Roman" w:cs="Times New Roman"/>
          <w:vertAlign w:val="subscript"/>
        </w:rPr>
        <w:t>2</w:t>
      </w:r>
      <w:r w:rsidRPr="003033A0">
        <w:rPr>
          <w:rFonts w:ascii="Times New Roman" w:hAnsi="Times New Roman" w:cs="Times New Roman"/>
          <w:lang w:val="en-US"/>
        </w:rPr>
        <w:t xml:space="preserve"> and CO</w:t>
      </w:r>
      <w:r w:rsidRPr="003033A0">
        <w:rPr>
          <w:rFonts w:ascii="Times New Roman" w:hAnsi="Times New Roman" w:cs="Times New Roman"/>
          <w:vertAlign w:val="subscript"/>
        </w:rPr>
        <w:t>2</w:t>
      </w:r>
      <w:r w:rsidRPr="003033A0">
        <w:rPr>
          <w:rFonts w:ascii="Times New Roman" w:hAnsi="Times New Roman" w:cs="Times New Roman"/>
          <w:lang w:val="en-US"/>
        </w:rPr>
        <w:t>) and high (16.04 % O</w:t>
      </w:r>
      <w:r w:rsidRPr="003033A0">
        <w:rPr>
          <w:rFonts w:ascii="Times New Roman" w:hAnsi="Times New Roman" w:cs="Times New Roman"/>
          <w:vertAlign w:val="subscript"/>
        </w:rPr>
        <w:t>2</w:t>
      </w:r>
      <w:r w:rsidRPr="003033A0">
        <w:rPr>
          <w:rFonts w:ascii="Times New Roman" w:hAnsi="Times New Roman" w:cs="Times New Roman"/>
        </w:rPr>
        <w:t>, 5.06 % CO</w:t>
      </w:r>
      <w:r w:rsidRPr="003033A0">
        <w:rPr>
          <w:rFonts w:ascii="Times New Roman" w:hAnsi="Times New Roman" w:cs="Times New Roman"/>
          <w:vertAlign w:val="subscript"/>
        </w:rPr>
        <w:t>2</w:t>
      </w:r>
      <w:r w:rsidRPr="003033A0">
        <w:rPr>
          <w:rFonts w:ascii="Times New Roman" w:hAnsi="Times New Roman" w:cs="Times New Roman"/>
          <w:lang w:val="en-US"/>
        </w:rPr>
        <w:t>) gases (BOC Industrial Gases, Linde AG, Munich, Germany).</w:t>
      </w:r>
      <w:r w:rsidRPr="003033A0">
        <w:rPr>
          <w:rFonts w:ascii="Times New Roman" w:hAnsi="Times New Roman" w:cs="Times New Roman"/>
        </w:rPr>
        <w:t xml:space="preserve"> </w:t>
      </w:r>
      <w:r w:rsidRPr="003033A0">
        <w:rPr>
          <w:rFonts w:ascii="Times New Roman" w:hAnsi="Times New Roman" w:cs="Times New Roman"/>
          <w:lang w:val="en-US"/>
        </w:rPr>
        <w:t xml:space="preserve">Participants were provided with a mouthpiece one min before each sample was collected as a stabilisation period. The expired air samples were collected in 200 L Douglas bags (Hans Rudolph, Kansas City, USA) with the mouthpiece connected to a two-way, T shaped non-rebreathing valve via </w:t>
      </w:r>
      <w:proofErr w:type="spellStart"/>
      <w:r w:rsidRPr="003033A0">
        <w:rPr>
          <w:rFonts w:ascii="Times New Roman" w:hAnsi="Times New Roman" w:cs="Times New Roman"/>
          <w:lang w:val="en-US"/>
        </w:rPr>
        <w:t>falconia</w:t>
      </w:r>
      <w:proofErr w:type="spellEnd"/>
      <w:r w:rsidRPr="003033A0">
        <w:rPr>
          <w:rFonts w:ascii="Times New Roman" w:hAnsi="Times New Roman" w:cs="Times New Roman"/>
          <w:lang w:val="en-US"/>
        </w:rPr>
        <w:t xml:space="preserve"> tubing (as detailed previously) and measurements of ambient O</w:t>
      </w:r>
      <w:r w:rsidRPr="003033A0">
        <w:rPr>
          <w:rFonts w:ascii="Times New Roman" w:hAnsi="Times New Roman" w:cs="Times New Roman"/>
          <w:vertAlign w:val="subscript"/>
        </w:rPr>
        <w:t>2</w:t>
      </w:r>
      <w:r w:rsidRPr="003033A0">
        <w:rPr>
          <w:rFonts w:ascii="Times New Roman" w:hAnsi="Times New Roman" w:cs="Times New Roman"/>
          <w:lang w:val="en-US"/>
        </w:rPr>
        <w:t xml:space="preserve"> and CO</w:t>
      </w:r>
      <w:r w:rsidRPr="003033A0">
        <w:rPr>
          <w:rFonts w:ascii="Times New Roman" w:hAnsi="Times New Roman" w:cs="Times New Roman"/>
          <w:vertAlign w:val="subscript"/>
        </w:rPr>
        <w:t xml:space="preserve">2 </w:t>
      </w:r>
      <w:r w:rsidRPr="003033A0">
        <w:rPr>
          <w:rFonts w:ascii="Times New Roman" w:hAnsi="Times New Roman" w:cs="Times New Roman"/>
          <w:lang w:val="en-US"/>
        </w:rPr>
        <w:t>concentrations were recorded. Expired O</w:t>
      </w:r>
      <w:r w:rsidRPr="003033A0">
        <w:rPr>
          <w:rFonts w:ascii="Times New Roman" w:hAnsi="Times New Roman" w:cs="Times New Roman"/>
          <w:vertAlign w:val="subscript"/>
        </w:rPr>
        <w:t>2</w:t>
      </w:r>
      <w:r w:rsidRPr="003033A0">
        <w:rPr>
          <w:rFonts w:ascii="Times New Roman" w:hAnsi="Times New Roman" w:cs="Times New Roman"/>
          <w:lang w:val="en-US"/>
        </w:rPr>
        <w:t xml:space="preserve"> and CO</w:t>
      </w:r>
      <w:r w:rsidRPr="003033A0">
        <w:rPr>
          <w:rFonts w:ascii="Times New Roman" w:hAnsi="Times New Roman" w:cs="Times New Roman"/>
          <w:vertAlign w:val="subscript"/>
        </w:rPr>
        <w:t xml:space="preserve">2 </w:t>
      </w:r>
      <w:r w:rsidRPr="003033A0">
        <w:rPr>
          <w:rFonts w:ascii="Times New Roman" w:hAnsi="Times New Roman" w:cs="Times New Roman"/>
          <w:lang w:val="en-US"/>
        </w:rPr>
        <w:t xml:space="preserve">concentrations were then measured in a known volume of each sample for two min </w:t>
      </w:r>
      <w:r w:rsidRPr="003033A0">
        <w:rPr>
          <w:rFonts w:ascii="Times New Roman" w:hAnsi="Times New Roman" w:cs="Times New Roman"/>
          <w:lang w:val="en-US"/>
        </w:rPr>
        <w:lastRenderedPageBreak/>
        <w:t>(or longer if values were not stable after two min) using paramagnetic and infrared</w:t>
      </w:r>
      <w:r w:rsidRPr="003033A0">
        <w:rPr>
          <w:rFonts w:ascii="Times New Roman" w:hAnsi="Times New Roman" w:cs="Times New Roman"/>
        </w:rPr>
        <w:t xml:space="preserve"> </w:t>
      </w:r>
      <w:r w:rsidRPr="003033A0">
        <w:rPr>
          <w:rFonts w:ascii="Times New Roman" w:hAnsi="Times New Roman" w:cs="Times New Roman"/>
          <w:lang w:val="en-US"/>
        </w:rPr>
        <w:t>transducers within the sensor. The ambient temperature, humidity and barometric pressure were recorded</w:t>
      </w:r>
      <w:r w:rsidRPr="003033A0">
        <w:rPr>
          <w:rFonts w:ascii="Times New Roman" w:hAnsi="Times New Roman" w:cs="Times New Roman"/>
        </w:rPr>
        <w:t xml:space="preserve"> via a weather station (as detailed previously) so that </w:t>
      </w:r>
      <w:r w:rsidRPr="003033A0">
        <w:rPr>
          <w:rFonts w:ascii="Times New Roman" w:hAnsi="Times New Roman" w:cs="Times New Roman"/>
          <w:lang w:val="en-US"/>
        </w:rPr>
        <w:t>expired air volumes could be corrected to standard temperature and pressure for dry gases. The volume and temperature of expired air samples were measured on a dry gas meter (</w:t>
      </w:r>
      <w:r w:rsidRPr="003033A0">
        <w:rPr>
          <w:rFonts w:ascii="Times New Roman" w:hAnsi="Times New Roman" w:cs="Times New Roman"/>
        </w:rPr>
        <w:t>Harvard Apparatus</w:t>
      </w:r>
      <w:r w:rsidRPr="003033A0">
        <w:rPr>
          <w:rFonts w:ascii="Times New Roman" w:hAnsi="Times New Roman" w:cs="Times New Roman"/>
          <w:lang w:val="en-US"/>
        </w:rPr>
        <w:t>) and using a digital thermistor, respectively (</w:t>
      </w:r>
      <w:r w:rsidRPr="003033A0">
        <w:rPr>
          <w:rFonts w:ascii="Times New Roman" w:hAnsi="Times New Roman" w:cs="Times New Roman"/>
        </w:rPr>
        <w:t>HI98509 Checktemp 1, Hanna Instruments Ltd, Bedford, UK</w:t>
      </w:r>
      <w:r w:rsidRPr="003033A0">
        <w:rPr>
          <w:rFonts w:ascii="Times New Roman" w:hAnsi="Times New Roman" w:cs="Times New Roman"/>
          <w:lang w:val="en-US"/>
        </w:rPr>
        <w:t xml:space="preserve">). The Haldane transformation was applied to calculate inspired gas volumes and to determine </w:t>
      </w:r>
      <w:r w:rsidRPr="003033A0">
        <w:rPr>
          <w:rFonts w:ascii="Times New Roman" w:hAnsi="Times New Roman" w:cs="Times New Roman"/>
        </w:rPr>
        <w:t>V̇O</w:t>
      </w:r>
      <w:r w:rsidRPr="003033A0">
        <w:rPr>
          <w:rFonts w:ascii="Times New Roman" w:hAnsi="Times New Roman" w:cs="Times New Roman"/>
          <w:vertAlign w:val="subscript"/>
        </w:rPr>
        <w:t>2</w:t>
      </w:r>
      <w:r w:rsidRPr="003033A0">
        <w:rPr>
          <w:rFonts w:ascii="Times New Roman" w:hAnsi="Times New Roman" w:cs="Times New Roman"/>
        </w:rPr>
        <w:t xml:space="preserve"> and V̇CO</w:t>
      </w:r>
      <w:r w:rsidRPr="003033A0">
        <w:rPr>
          <w:rFonts w:ascii="Times New Roman" w:hAnsi="Times New Roman" w:cs="Times New Roman"/>
          <w:vertAlign w:val="subscript"/>
        </w:rPr>
        <w:t xml:space="preserve">2. </w:t>
      </w:r>
      <w:r w:rsidRPr="003033A0">
        <w:rPr>
          <w:rFonts w:ascii="Times New Roman" w:hAnsi="Times New Roman" w:cs="Times New Roman"/>
        </w:rPr>
        <w:t xml:space="preserve">Rates of lipid and carbohydrate utilisation </w:t>
      </w:r>
      <w:r>
        <w:rPr>
          <w:rFonts w:ascii="Times New Roman" w:hAnsi="Times New Roman" w:cs="Times New Roman"/>
        </w:rPr>
        <w:t xml:space="preserve">and energy expenditure </w:t>
      </w:r>
      <w:r w:rsidRPr="003033A0">
        <w:rPr>
          <w:rFonts w:ascii="Times New Roman" w:hAnsi="Times New Roman" w:cs="Times New Roman"/>
        </w:rPr>
        <w:t>were estimated from V̇O</w:t>
      </w:r>
      <w:r w:rsidRPr="003033A0">
        <w:rPr>
          <w:rFonts w:ascii="Times New Roman" w:hAnsi="Times New Roman" w:cs="Times New Roman"/>
          <w:vertAlign w:val="subscript"/>
        </w:rPr>
        <w:t xml:space="preserve">2 </w:t>
      </w:r>
      <w:r w:rsidRPr="003033A0">
        <w:rPr>
          <w:rFonts w:ascii="Times New Roman" w:hAnsi="Times New Roman" w:cs="Times New Roman"/>
        </w:rPr>
        <w:t>and V̇CO</w:t>
      </w:r>
      <w:r w:rsidRPr="003033A0">
        <w:rPr>
          <w:rFonts w:ascii="Times New Roman" w:hAnsi="Times New Roman" w:cs="Times New Roman"/>
          <w:vertAlign w:val="subscript"/>
        </w:rPr>
        <w:t xml:space="preserve">2 </w:t>
      </w:r>
      <w:r w:rsidRPr="003033A0">
        <w:rPr>
          <w:rFonts w:ascii="Times New Roman" w:hAnsi="Times New Roman" w:cs="Times New Roman"/>
        </w:rPr>
        <w:t>values via stoichiometric equations (</w:t>
      </w:r>
      <w:r>
        <w:rPr>
          <w:rFonts w:ascii="Times New Roman" w:hAnsi="Times New Roman" w:cs="Times New Roman"/>
        </w:rPr>
        <w:t>as detailed in the manuscript).</w:t>
      </w:r>
    </w:p>
    <w:p w:rsidR="00DF6E44" w:rsidRDefault="00DF6E44" w:rsidP="003033A0">
      <w:pPr>
        <w:jc w:val="both"/>
      </w:pPr>
    </w:p>
    <w:p w:rsidR="00DF6E44" w:rsidRDefault="00DF6E44" w:rsidP="003033A0">
      <w:pPr>
        <w:jc w:val="both"/>
      </w:pPr>
      <w:r>
        <w:t>FREE-LIVING ENERGY EXPENDITURE</w:t>
      </w:r>
    </w:p>
    <w:p w:rsidR="00DF6E44" w:rsidRDefault="00DF6E44" w:rsidP="003033A0">
      <w:pPr>
        <w:jc w:val="both"/>
      </w:pPr>
      <w:r w:rsidRPr="00DF6E44">
        <w:t>Free-living physical activity e</w:t>
      </w:r>
      <w:r>
        <w:t xml:space="preserve">nergy expenditure was assessed </w:t>
      </w:r>
      <w:r w:rsidRPr="00DF6E44">
        <w:t xml:space="preserve">from </w:t>
      </w:r>
      <w:r>
        <w:t xml:space="preserve">the time </w:t>
      </w:r>
      <w:r w:rsidRPr="00DF6E44">
        <w:t>when the participant left the laboratory until 2</w:t>
      </w:r>
      <w:r>
        <w:t>4 h post breakfast consumption (or omission</w:t>
      </w:r>
      <w:r w:rsidRPr="00DF6E44">
        <w:t>) using an Actiheart</w:t>
      </w:r>
      <w:r w:rsidRPr="00DF6E44">
        <w:rPr>
          <w:vertAlign w:val="superscript"/>
        </w:rPr>
        <w:t>TM</w:t>
      </w:r>
      <w:r>
        <w:t xml:space="preserve"> physical activity monitor</w:t>
      </w:r>
      <w:r w:rsidRPr="00DF6E44">
        <w:t xml:space="preserve"> which </w:t>
      </w:r>
      <w:r>
        <w:t>measures</w:t>
      </w:r>
      <w:r w:rsidRPr="00DF6E44">
        <w:t xml:space="preserve"> accelerometer</w:t>
      </w:r>
      <w:r>
        <w:t>y</w:t>
      </w:r>
      <w:r w:rsidRPr="00DF6E44">
        <w:t xml:space="preserve"> and </w:t>
      </w:r>
      <w:r>
        <w:t xml:space="preserve">heart rate. </w:t>
      </w:r>
    </w:p>
    <w:p w:rsidR="00DF6E44" w:rsidRDefault="00DF6E44" w:rsidP="003033A0">
      <w:pPr>
        <w:jc w:val="both"/>
      </w:pPr>
    </w:p>
    <w:p w:rsidR="00DF6E44" w:rsidRDefault="00DF6E44" w:rsidP="003033A0">
      <w:pPr>
        <w:jc w:val="both"/>
      </w:pPr>
      <w:r>
        <w:t>CARBOHYDRATE (CHO), FAT and PROTEIN (PRO) BALANCES</w:t>
      </w:r>
    </w:p>
    <w:p w:rsidR="00DF6E44" w:rsidRDefault="00DF6E44" w:rsidP="003033A0">
      <w:pPr>
        <w:jc w:val="both"/>
      </w:pPr>
      <w:r>
        <w:t xml:space="preserve">Within-lab CHO, FAT and PRO balances were calculated as dietary intake of each macronutrient minus the oxidation of the respective substrate (measured using the Douglas bag technique described previously). </w:t>
      </w:r>
    </w:p>
    <w:p w:rsidR="00DF6E44" w:rsidRDefault="00DF6E44" w:rsidP="003033A0">
      <w:pPr>
        <w:jc w:val="both"/>
      </w:pPr>
    </w:p>
    <w:p w:rsidR="00F25640" w:rsidRDefault="00F25640" w:rsidP="003033A0">
      <w:pPr>
        <w:jc w:val="both"/>
      </w:pPr>
      <w:r>
        <w:t>GLUCOSE</w:t>
      </w:r>
      <w:r w:rsidR="00987D10">
        <w:t xml:space="preserve"> CONCENTRATIONS</w:t>
      </w:r>
    </w:p>
    <w:p w:rsidR="00F25640" w:rsidRDefault="00F25640" w:rsidP="003033A0">
      <w:pPr>
        <w:jc w:val="both"/>
      </w:pPr>
      <w:r>
        <w:t xml:space="preserve">Blood plasma (EDTA-treated) concentrations of glucose were </w:t>
      </w:r>
      <w:r w:rsidR="00987D10">
        <w:t xml:space="preserve">measured </w:t>
      </w:r>
      <w:r>
        <w:t>using a Daytona RX automated clinical chem</w:t>
      </w:r>
      <w:r w:rsidR="001632FA">
        <w:t xml:space="preserve">istry analyser (Randox, Crumlin) </w:t>
      </w:r>
      <w:r w:rsidR="001632FA" w:rsidRPr="001632FA">
        <w:t>according</w:t>
      </w:r>
      <w:r w:rsidR="001632FA">
        <w:t xml:space="preserve"> to manufacturer’s instructions</w:t>
      </w:r>
      <w:r>
        <w:t xml:space="preserve">. </w:t>
      </w:r>
    </w:p>
    <w:p w:rsidR="00A63677" w:rsidRDefault="00A63677" w:rsidP="003033A0">
      <w:pPr>
        <w:jc w:val="both"/>
      </w:pPr>
    </w:p>
    <w:p w:rsidR="00A63677" w:rsidRDefault="00A63677" w:rsidP="003033A0">
      <w:pPr>
        <w:jc w:val="both"/>
      </w:pPr>
      <w:r>
        <w:t>DUAL GLUCOSE TRACER METHODS</w:t>
      </w:r>
    </w:p>
    <w:p w:rsidR="000E56FD" w:rsidRPr="000E56FD" w:rsidRDefault="000E56FD" w:rsidP="003033A0">
      <w:pPr>
        <w:pStyle w:val="Body"/>
        <w:spacing w:after="0" w:line="240" w:lineRule="auto"/>
        <w:jc w:val="both"/>
        <w:rPr>
          <w:rFonts w:ascii="Times New Roman" w:hAnsi="Times New Roman" w:cs="Times New Roman"/>
        </w:rPr>
      </w:pPr>
      <w:r>
        <w:rPr>
          <w:rFonts w:ascii="Times New Roman" w:hAnsi="Times New Roman" w:cs="Times New Roman"/>
          <w:lang w:val="en-US"/>
        </w:rPr>
        <w:t>Gl</w:t>
      </w:r>
      <w:r w:rsidRPr="000E56FD">
        <w:rPr>
          <w:rFonts w:ascii="Times New Roman" w:hAnsi="Times New Roman" w:cs="Times New Roman"/>
          <w:lang w:val="en-US"/>
        </w:rPr>
        <w:t>ucose tracers (</w:t>
      </w:r>
      <w:r w:rsidRPr="000E56FD">
        <w:rPr>
          <w:rFonts w:ascii="Times New Roman" w:hAnsi="Times New Roman" w:cs="Times New Roman"/>
        </w:rPr>
        <w:t>[U</w:t>
      </w:r>
      <w:r w:rsidRPr="000E56FD">
        <w:rPr>
          <w:rFonts w:ascii="Times New Roman" w:hAnsi="Times New Roman" w:cs="Times New Roman"/>
          <w:vertAlign w:val="superscript"/>
        </w:rPr>
        <w:t>13</w:t>
      </w:r>
      <w:r w:rsidRPr="000E56FD">
        <w:rPr>
          <w:rFonts w:ascii="Times New Roman" w:hAnsi="Times New Roman" w:cs="Times New Roman"/>
        </w:rPr>
        <w:t xml:space="preserve">-C]-glucose oral ingestion </w:t>
      </w:r>
      <w:r>
        <w:rPr>
          <w:rFonts w:ascii="Times New Roman" w:hAnsi="Times New Roman" w:cs="Times New Roman"/>
        </w:rPr>
        <w:t>and</w:t>
      </w:r>
      <w:r w:rsidRPr="000E56FD">
        <w:rPr>
          <w:rFonts w:ascii="Times New Roman" w:hAnsi="Times New Roman" w:cs="Times New Roman"/>
        </w:rPr>
        <w:t xml:space="preserve"> an infusion of [6,-6- </w:t>
      </w:r>
      <w:r w:rsidRPr="000E56FD">
        <w:rPr>
          <w:rFonts w:ascii="Times New Roman" w:hAnsi="Times New Roman" w:cs="Times New Roman"/>
          <w:vertAlign w:val="superscript"/>
        </w:rPr>
        <w:t>2</w:t>
      </w:r>
      <w:r w:rsidRPr="000E56FD">
        <w:rPr>
          <w:rFonts w:ascii="Times New Roman" w:hAnsi="Times New Roman" w:cs="Times New Roman"/>
        </w:rPr>
        <w:t>H</w:t>
      </w:r>
      <w:r w:rsidRPr="000E56FD">
        <w:rPr>
          <w:rFonts w:ascii="Times New Roman" w:hAnsi="Times New Roman" w:cs="Times New Roman"/>
          <w:vertAlign w:val="subscript"/>
        </w:rPr>
        <w:t>2</w:t>
      </w:r>
      <w:r w:rsidRPr="000E56FD">
        <w:rPr>
          <w:rFonts w:ascii="Times New Roman" w:hAnsi="Times New Roman" w:cs="Times New Roman"/>
        </w:rPr>
        <w:t xml:space="preserve">]-glucose) </w:t>
      </w:r>
      <w:r w:rsidRPr="000E56FD">
        <w:rPr>
          <w:rFonts w:ascii="Times New Roman" w:hAnsi="Times New Roman" w:cs="Times New Roman"/>
          <w:lang w:val="en-US"/>
        </w:rPr>
        <w:t>were used to a</w:t>
      </w:r>
      <w:r w:rsidR="00867E66">
        <w:rPr>
          <w:rFonts w:ascii="Times New Roman" w:hAnsi="Times New Roman" w:cs="Times New Roman"/>
          <w:lang w:val="en-US"/>
        </w:rPr>
        <w:t>ssess blood glucose flux</w:t>
      </w:r>
      <w:r w:rsidRPr="000E56FD">
        <w:rPr>
          <w:rFonts w:ascii="Times New Roman" w:hAnsi="Times New Roman" w:cs="Times New Roman"/>
          <w:lang w:val="en-US"/>
        </w:rPr>
        <w:t xml:space="preserve">. </w:t>
      </w:r>
      <w:r w:rsidRPr="000E56FD">
        <w:rPr>
          <w:rFonts w:ascii="Times New Roman" w:hAnsi="Times New Roman" w:cs="Times New Roman"/>
        </w:rPr>
        <w:t>For the OGTT, 73 g of glucose was weighed (81 g of dextrose monohydrate corrected for water content; Myprotein, Northwich, UK). Then, 2 g of [U</w:t>
      </w:r>
      <w:r w:rsidRPr="000E56FD">
        <w:rPr>
          <w:rFonts w:ascii="Times New Roman" w:hAnsi="Times New Roman" w:cs="Times New Roman"/>
          <w:vertAlign w:val="superscript"/>
        </w:rPr>
        <w:t>13</w:t>
      </w:r>
      <w:r w:rsidRPr="000E56FD">
        <w:rPr>
          <w:rFonts w:ascii="Times New Roman" w:hAnsi="Times New Roman" w:cs="Times New Roman"/>
        </w:rPr>
        <w:t xml:space="preserve">-C]-glucose (99 %; Cambridge Isotope Laboratories, MA, USA) was weighed </w:t>
      </w:r>
      <w:r w:rsidRPr="000E56FD">
        <w:rPr>
          <w:rFonts w:ascii="Times New Roman" w:hAnsi="Times New Roman" w:cs="Times New Roman"/>
          <w:color w:val="000000" w:themeColor="text1"/>
        </w:rPr>
        <w:t xml:space="preserve">to the nearest 0.01 g with electronic weighing scales (AX124/E Adventurer Analytical Balance, Ohaus, Parsippany, USA) and added </w:t>
      </w:r>
      <w:r w:rsidRPr="000E56FD">
        <w:rPr>
          <w:rFonts w:ascii="Times New Roman" w:hAnsi="Times New Roman" w:cs="Times New Roman"/>
        </w:rPr>
        <w:t xml:space="preserve">with 300 mL of plain water. The infusate and prime were freshly made for each trial. First, a spreadsheet </w:t>
      </w:r>
      <w:r w:rsidRPr="000E56FD">
        <w:rPr>
          <w:rFonts w:ascii="Times New Roman" w:hAnsi="Times New Roman" w:cs="Times New Roman"/>
          <w:color w:val="000000" w:themeColor="text1"/>
        </w:rPr>
        <w:t xml:space="preserve">was prepared with desired tracer weights and saline volumes which were calculated from the desired infusion rate. </w:t>
      </w:r>
      <w:r w:rsidRPr="000E56FD">
        <w:rPr>
          <w:rFonts w:ascii="Times New Roman" w:hAnsi="Times New Roman" w:cs="Times New Roman"/>
        </w:rPr>
        <w:t>Tracer preperation was completed under a sterlie fume hood</w:t>
      </w:r>
      <w:r w:rsidRPr="000E56FD">
        <w:rPr>
          <w:rFonts w:ascii="Times New Roman" w:hAnsi="Times New Roman" w:cs="Times New Roman"/>
          <w:color w:val="000000" w:themeColor="text1"/>
        </w:rPr>
        <w:t xml:space="preserve"> and all of the work surfaces, material packaging and equipment were </w:t>
      </w:r>
      <w:r w:rsidRPr="000E56FD">
        <w:rPr>
          <w:rFonts w:ascii="Times New Roman" w:hAnsi="Times New Roman" w:cs="Times New Roman"/>
        </w:rPr>
        <w:t>sprayed with 70 % ethanol. The desrired mass of [6,6-</w:t>
      </w:r>
      <w:r w:rsidRPr="000E56FD">
        <w:rPr>
          <w:rFonts w:ascii="Times New Roman" w:hAnsi="Times New Roman" w:cs="Times New Roman"/>
          <w:vertAlign w:val="superscript"/>
        </w:rPr>
        <w:t>2</w:t>
      </w:r>
      <w:r w:rsidRPr="000E56FD">
        <w:rPr>
          <w:rFonts w:ascii="Times New Roman" w:hAnsi="Times New Roman" w:cs="Times New Roman"/>
        </w:rPr>
        <w:t>H</w:t>
      </w:r>
      <w:r w:rsidRPr="000E56FD">
        <w:rPr>
          <w:rFonts w:ascii="Times New Roman" w:hAnsi="Times New Roman" w:cs="Times New Roman"/>
          <w:vertAlign w:val="subscript"/>
        </w:rPr>
        <w:t>2</w:t>
      </w:r>
      <w:r w:rsidRPr="000E56FD">
        <w:rPr>
          <w:rFonts w:ascii="Times New Roman" w:hAnsi="Times New Roman" w:cs="Times New Roman"/>
        </w:rPr>
        <w:t xml:space="preserve">]-glucose was weighed (seperately for infusates and primes) to the nearest 0.01 g and the actual mass was recorded. Then, a needle was attached to a 60 mL sterile syringe and used to add the desired volume of saline for the infusate and prime and the actual volume was recorded. A second syringe was used to aspirate the solution for the infusate and prime and was then attached to a 3-way stopcock, a 0.2 micron syringe filter and an intravenous infusion extension line (for the prime, the syringe was only attached to the filter). The spreadsheet was updated with </w:t>
      </w:r>
      <w:r w:rsidRPr="000E56FD">
        <w:rPr>
          <w:rFonts w:ascii="Times New Roman" w:hAnsi="Times New Roman" w:cs="Times New Roman"/>
          <w:lang w:val="en-US"/>
        </w:rPr>
        <w:t xml:space="preserve">the </w:t>
      </w:r>
      <w:r w:rsidRPr="000E56FD">
        <w:rPr>
          <w:rFonts w:ascii="Times New Roman" w:hAnsi="Times New Roman" w:cs="Times New Roman"/>
        </w:rPr>
        <w:t>actual</w:t>
      </w:r>
      <w:r w:rsidRPr="000E56FD">
        <w:rPr>
          <w:rFonts w:ascii="Times New Roman" w:hAnsi="Times New Roman" w:cs="Times New Roman"/>
          <w:lang w:val="en-US"/>
        </w:rPr>
        <w:t xml:space="preserve"> </w:t>
      </w:r>
      <w:r w:rsidRPr="000E56FD">
        <w:rPr>
          <w:rFonts w:ascii="Times New Roman" w:hAnsi="Times New Roman" w:cs="Times New Roman"/>
        </w:rPr>
        <w:t xml:space="preserve">weights recorded for the infusate and the prime so that the required pump rate could be calculated. During trials the infusion rate was administered via an automatic pump (Alaris™ PK Syringe Pump, BD, Wokingham, UK) and the infusate syringe was weighed after each trial to ensure the infusion rate prescribed was accurate. </w:t>
      </w:r>
    </w:p>
    <w:p w:rsidR="000E56FD" w:rsidRDefault="000E56FD" w:rsidP="003033A0">
      <w:pPr>
        <w:pStyle w:val="Body"/>
        <w:spacing w:after="0" w:line="240" w:lineRule="auto"/>
        <w:jc w:val="both"/>
        <w:rPr>
          <w:rFonts w:ascii="Times New Roman" w:hAnsi="Times New Roman" w:cs="Times New Roman"/>
          <w:lang w:val="en-US"/>
        </w:rPr>
      </w:pPr>
      <w:r w:rsidRPr="000E56FD">
        <w:rPr>
          <w:rFonts w:ascii="Times New Roman" w:hAnsi="Times New Roman" w:cs="Times New Roman"/>
          <w:shd w:val="clear" w:color="auto" w:fill="FFFFFF"/>
          <w:lang w:val="pt-PT"/>
        </w:rPr>
        <w:t>Plasma [U</w:t>
      </w:r>
      <w:r w:rsidRPr="000E56FD">
        <w:rPr>
          <w:rFonts w:ascii="Times New Roman" w:hAnsi="Times New Roman" w:cs="Times New Roman"/>
          <w:shd w:val="clear" w:color="auto" w:fill="FFFFFF"/>
          <w:vertAlign w:val="superscript"/>
        </w:rPr>
        <w:t>13</w:t>
      </w:r>
      <w:r w:rsidRPr="000E56FD">
        <w:rPr>
          <w:rFonts w:ascii="Times New Roman" w:hAnsi="Times New Roman" w:cs="Times New Roman"/>
          <w:shd w:val="clear" w:color="auto" w:fill="FFFFFF"/>
          <w:lang w:val="en-US"/>
        </w:rPr>
        <w:t>C]-glucose and [</w:t>
      </w:r>
      <w:r w:rsidRPr="000E56FD">
        <w:rPr>
          <w:rFonts w:ascii="Times New Roman" w:hAnsi="Times New Roman" w:cs="Times New Roman"/>
          <w:shd w:val="clear" w:color="auto" w:fill="FFFFFF"/>
          <w:vertAlign w:val="superscript"/>
        </w:rPr>
        <w:t>2</w:t>
      </w:r>
      <w:r w:rsidRPr="000E56FD">
        <w:rPr>
          <w:rFonts w:ascii="Times New Roman" w:hAnsi="Times New Roman" w:cs="Times New Roman"/>
          <w:shd w:val="clear" w:color="auto" w:fill="FFFFFF"/>
        </w:rPr>
        <w:t>H</w:t>
      </w:r>
      <w:r w:rsidRPr="000E56FD">
        <w:rPr>
          <w:rFonts w:ascii="Times New Roman" w:hAnsi="Times New Roman" w:cs="Times New Roman"/>
          <w:shd w:val="clear" w:color="auto" w:fill="FFFFFF"/>
          <w:vertAlign w:val="subscript"/>
        </w:rPr>
        <w:t>2</w:t>
      </w:r>
      <w:r w:rsidRPr="000E56FD">
        <w:rPr>
          <w:rFonts w:ascii="Times New Roman" w:hAnsi="Times New Roman" w:cs="Times New Roman"/>
          <w:shd w:val="clear" w:color="auto" w:fill="FFFFFF"/>
          <w:lang w:val="en-US"/>
        </w:rPr>
        <w:t xml:space="preserve">]-glucose enrichments were determined by gas chromatography-mass spectrometry (GC-MS). First, the </w:t>
      </w:r>
      <w:r w:rsidRPr="000E56FD">
        <w:rPr>
          <w:rFonts w:ascii="Times New Roman" w:hAnsi="Times New Roman" w:cs="Times New Roman"/>
          <w:lang w:val="en-US"/>
        </w:rPr>
        <w:t xml:space="preserve">glucose was extracted from </w:t>
      </w:r>
      <w:r w:rsidRPr="000E56FD">
        <w:rPr>
          <w:rFonts w:ascii="Times New Roman" w:hAnsi="Times New Roman" w:cs="Times New Roman"/>
          <w:lang w:val="en-US"/>
        </w:rPr>
        <w:lastRenderedPageBreak/>
        <w:t xml:space="preserve">samples using methanol-chloroform and </w:t>
      </w:r>
      <w:r w:rsidRPr="000E56FD">
        <w:rPr>
          <w:rFonts w:ascii="Times New Roman" w:hAnsi="Times New Roman" w:cs="Times New Roman"/>
          <w:color w:val="000000" w:themeColor="text1"/>
          <w:lang w:val="en-US"/>
        </w:rPr>
        <w:t>hydrochloric acid, dried under nitrogen gas and derivatised (</w:t>
      </w:r>
      <w:r w:rsidRPr="000E56FD">
        <w:rPr>
          <w:rFonts w:ascii="Times New Roman" w:hAnsi="Times New Roman" w:cs="Times New Roman"/>
          <w:color w:val="000000" w:themeColor="text1"/>
        </w:rPr>
        <w:t xml:space="preserve">to ensure samples were sufficiently volatile and thermally stable for analysis using GC-MS. </w:t>
      </w:r>
      <w:r w:rsidRPr="000E56FD">
        <w:rPr>
          <w:rFonts w:ascii="Times New Roman" w:hAnsi="Times New Roman" w:cs="Times New Roman"/>
          <w:shd w:val="clear" w:color="auto" w:fill="FFFFFF"/>
          <w:lang w:val="en-US"/>
        </w:rPr>
        <w:t xml:space="preserve">The glucose derivatives were acquired by using selected ion monitoring at </w:t>
      </w:r>
      <w:r w:rsidRPr="000E56FD">
        <w:rPr>
          <w:rFonts w:ascii="Times New Roman" w:hAnsi="Times New Roman" w:cs="Times New Roman"/>
          <w:i/>
          <w:iCs/>
          <w:shd w:val="clear" w:color="auto" w:fill="FFFFFF"/>
        </w:rPr>
        <w:t>m</w:t>
      </w:r>
      <w:r w:rsidRPr="000E56FD">
        <w:rPr>
          <w:rFonts w:ascii="Times New Roman" w:hAnsi="Times New Roman" w:cs="Times New Roman"/>
          <w:shd w:val="clear" w:color="auto" w:fill="FFFFFF"/>
        </w:rPr>
        <w:t>/</w:t>
      </w:r>
      <w:r w:rsidRPr="000E56FD">
        <w:rPr>
          <w:rFonts w:ascii="Times New Roman" w:hAnsi="Times New Roman" w:cs="Times New Roman"/>
          <w:i/>
          <w:iCs/>
          <w:shd w:val="clear" w:color="auto" w:fill="FFFFFF"/>
        </w:rPr>
        <w:t>z</w:t>
      </w:r>
      <w:r w:rsidRPr="000E56FD">
        <w:rPr>
          <w:rFonts w:ascii="Times New Roman" w:hAnsi="Times New Roman" w:cs="Times New Roman"/>
          <w:shd w:val="clear" w:color="auto" w:fill="FFFFFF"/>
          <w:lang w:val="en-US"/>
        </w:rPr>
        <w:t xml:space="preserve"> 519, 521 and 525 for [</w:t>
      </w:r>
      <w:r w:rsidRPr="000E56FD">
        <w:rPr>
          <w:rFonts w:ascii="Times New Roman" w:hAnsi="Times New Roman" w:cs="Times New Roman"/>
          <w:shd w:val="clear" w:color="auto" w:fill="FFFFFF"/>
          <w:vertAlign w:val="superscript"/>
        </w:rPr>
        <w:t>12</w:t>
      </w:r>
      <w:r w:rsidRPr="000E56FD">
        <w:rPr>
          <w:rFonts w:ascii="Times New Roman" w:hAnsi="Times New Roman" w:cs="Times New Roman"/>
          <w:shd w:val="clear" w:color="auto" w:fill="FFFFFF"/>
        </w:rPr>
        <w:t>-</w:t>
      </w:r>
      <w:r w:rsidRPr="000E56FD">
        <w:rPr>
          <w:rFonts w:ascii="Times New Roman" w:hAnsi="Times New Roman" w:cs="Times New Roman"/>
          <w:shd w:val="clear" w:color="auto" w:fill="FFFFFF"/>
          <w:lang w:val="pt-PT"/>
        </w:rPr>
        <w:t>C]-, [6,-6</w:t>
      </w:r>
      <w:r w:rsidRPr="000E56FD">
        <w:rPr>
          <w:rFonts w:ascii="Times New Roman" w:hAnsi="Times New Roman" w:cs="Times New Roman"/>
          <w:shd w:val="clear" w:color="auto" w:fill="FFFFFF"/>
          <w:vertAlign w:val="superscript"/>
        </w:rPr>
        <w:t>2</w:t>
      </w:r>
      <w:r w:rsidRPr="000E56FD">
        <w:rPr>
          <w:rFonts w:ascii="Times New Roman" w:hAnsi="Times New Roman" w:cs="Times New Roman"/>
          <w:shd w:val="clear" w:color="auto" w:fill="FFFFFF"/>
        </w:rPr>
        <w:t>H</w:t>
      </w:r>
      <w:r w:rsidRPr="000E56FD">
        <w:rPr>
          <w:rFonts w:ascii="Times New Roman" w:hAnsi="Times New Roman" w:cs="Times New Roman"/>
          <w:shd w:val="clear" w:color="auto" w:fill="FFFFFF"/>
          <w:vertAlign w:val="subscript"/>
        </w:rPr>
        <w:t>2</w:t>
      </w:r>
      <w:r w:rsidRPr="000E56FD">
        <w:rPr>
          <w:rFonts w:ascii="Times New Roman" w:hAnsi="Times New Roman" w:cs="Times New Roman"/>
          <w:shd w:val="clear" w:color="auto" w:fill="FFFFFF"/>
          <w:lang w:val="en-US"/>
        </w:rPr>
        <w:t>]-, and [U</w:t>
      </w:r>
      <w:r w:rsidRPr="000E56FD">
        <w:rPr>
          <w:rFonts w:ascii="Times New Roman" w:hAnsi="Times New Roman" w:cs="Times New Roman"/>
          <w:shd w:val="clear" w:color="auto" w:fill="FFFFFF"/>
          <w:vertAlign w:val="superscript"/>
        </w:rPr>
        <w:t>13</w:t>
      </w:r>
      <w:r w:rsidRPr="000E56FD">
        <w:rPr>
          <w:rFonts w:ascii="Times New Roman" w:hAnsi="Times New Roman" w:cs="Times New Roman"/>
          <w:shd w:val="clear" w:color="auto" w:fill="FFFFFF"/>
        </w:rPr>
        <w:t>-</w:t>
      </w:r>
      <w:r w:rsidRPr="000E56FD">
        <w:rPr>
          <w:rFonts w:ascii="Times New Roman" w:hAnsi="Times New Roman" w:cs="Times New Roman"/>
          <w:shd w:val="clear" w:color="auto" w:fill="FFFFFF"/>
          <w:lang w:val="en-US"/>
        </w:rPr>
        <w:t xml:space="preserve">C]-glucose, respectively and the area underneath each peak was calculated. </w:t>
      </w:r>
      <w:r w:rsidRPr="000E56FD">
        <w:rPr>
          <w:rFonts w:ascii="Times New Roman" w:hAnsi="Times New Roman" w:cs="Times New Roman"/>
          <w:color w:val="000000" w:themeColor="text1"/>
          <w:shd w:val="clear" w:color="auto" w:fill="FFFFFF"/>
          <w:lang w:val="en-US"/>
        </w:rPr>
        <w:t>Corrections were made for the order in which the samples were loaded onto the GC and the plasma enrichments of the isotopes were calculated via standard curves for [</w:t>
      </w:r>
      <w:r w:rsidRPr="000E56FD">
        <w:rPr>
          <w:rFonts w:ascii="Times New Roman" w:hAnsi="Times New Roman" w:cs="Times New Roman"/>
          <w:color w:val="000000" w:themeColor="text1"/>
          <w:shd w:val="clear" w:color="auto" w:fill="FFFFFF"/>
          <w:vertAlign w:val="superscript"/>
        </w:rPr>
        <w:t>13</w:t>
      </w:r>
      <w:r w:rsidRPr="000E56FD">
        <w:rPr>
          <w:rFonts w:ascii="Times New Roman" w:hAnsi="Times New Roman" w:cs="Times New Roman"/>
          <w:color w:val="000000" w:themeColor="text1"/>
          <w:shd w:val="clear" w:color="auto" w:fill="FFFFFF"/>
        </w:rPr>
        <w:t>-</w:t>
      </w:r>
      <w:r w:rsidRPr="000E56FD">
        <w:rPr>
          <w:rFonts w:ascii="Times New Roman" w:hAnsi="Times New Roman" w:cs="Times New Roman"/>
          <w:color w:val="000000" w:themeColor="text1"/>
          <w:shd w:val="clear" w:color="auto" w:fill="FFFFFF"/>
          <w:lang w:val="en-US"/>
        </w:rPr>
        <w:t>C</w:t>
      </w:r>
      <w:proofErr w:type="gramStart"/>
      <w:r w:rsidRPr="000E56FD">
        <w:rPr>
          <w:rFonts w:ascii="Times New Roman" w:hAnsi="Times New Roman" w:cs="Times New Roman"/>
          <w:color w:val="000000" w:themeColor="text1"/>
          <w:shd w:val="clear" w:color="auto" w:fill="FFFFFF"/>
          <w:lang w:val="en-US"/>
        </w:rPr>
        <w:t>]-</w:t>
      </w:r>
      <w:proofErr w:type="gramEnd"/>
      <w:r w:rsidRPr="000E56FD">
        <w:rPr>
          <w:rFonts w:ascii="Times New Roman" w:hAnsi="Times New Roman" w:cs="Times New Roman"/>
          <w:color w:val="000000" w:themeColor="text1"/>
          <w:shd w:val="clear" w:color="auto" w:fill="FFFFFF"/>
          <w:lang w:val="en-US"/>
        </w:rPr>
        <w:t xml:space="preserve"> and [</w:t>
      </w:r>
      <w:r w:rsidRPr="000E56FD">
        <w:rPr>
          <w:rFonts w:ascii="Times New Roman" w:hAnsi="Times New Roman" w:cs="Times New Roman"/>
          <w:color w:val="000000" w:themeColor="text1"/>
          <w:shd w:val="clear" w:color="auto" w:fill="FFFFFF"/>
          <w:vertAlign w:val="superscript"/>
        </w:rPr>
        <w:t>2</w:t>
      </w:r>
      <w:r w:rsidRPr="000E56FD">
        <w:rPr>
          <w:rFonts w:ascii="Times New Roman" w:hAnsi="Times New Roman" w:cs="Times New Roman"/>
          <w:color w:val="000000" w:themeColor="text1"/>
          <w:shd w:val="clear" w:color="auto" w:fill="FFFFFF"/>
        </w:rPr>
        <w:t>H</w:t>
      </w:r>
      <w:r w:rsidRPr="000E56FD">
        <w:rPr>
          <w:rFonts w:ascii="Times New Roman" w:hAnsi="Times New Roman" w:cs="Times New Roman"/>
          <w:color w:val="000000" w:themeColor="text1"/>
          <w:shd w:val="clear" w:color="auto" w:fill="FFFFFF"/>
          <w:vertAlign w:val="subscript"/>
        </w:rPr>
        <w:t>2</w:t>
      </w:r>
      <w:r w:rsidRPr="000E56FD">
        <w:rPr>
          <w:rFonts w:ascii="Times New Roman" w:hAnsi="Times New Roman" w:cs="Times New Roman"/>
          <w:color w:val="000000" w:themeColor="text1"/>
          <w:shd w:val="clear" w:color="auto" w:fill="FFFFFF"/>
          <w:lang w:val="en-US"/>
        </w:rPr>
        <w:t>]-glucose and were expressed relative to enrichments for [</w:t>
      </w:r>
      <w:r w:rsidRPr="000E56FD">
        <w:rPr>
          <w:rFonts w:ascii="Times New Roman" w:hAnsi="Times New Roman" w:cs="Times New Roman"/>
          <w:color w:val="000000" w:themeColor="text1"/>
          <w:shd w:val="clear" w:color="auto" w:fill="FFFFFF"/>
          <w:vertAlign w:val="superscript"/>
        </w:rPr>
        <w:t>12</w:t>
      </w:r>
      <w:r w:rsidRPr="000E56FD">
        <w:rPr>
          <w:rFonts w:ascii="Times New Roman" w:hAnsi="Times New Roman" w:cs="Times New Roman"/>
          <w:color w:val="000000" w:themeColor="text1"/>
          <w:shd w:val="clear" w:color="auto" w:fill="FFFFFF"/>
        </w:rPr>
        <w:t>-</w:t>
      </w:r>
      <w:r w:rsidRPr="000E56FD">
        <w:rPr>
          <w:rFonts w:ascii="Times New Roman" w:hAnsi="Times New Roman" w:cs="Times New Roman"/>
          <w:color w:val="000000" w:themeColor="text1"/>
          <w:shd w:val="clear" w:color="auto" w:fill="FFFFFF"/>
          <w:lang w:val="pt-PT"/>
        </w:rPr>
        <w:t>C]-</w:t>
      </w:r>
      <w:r w:rsidRPr="000E56FD">
        <w:rPr>
          <w:rFonts w:ascii="Times New Roman" w:hAnsi="Times New Roman" w:cs="Times New Roman"/>
          <w:color w:val="000000" w:themeColor="text1"/>
          <w:shd w:val="clear" w:color="auto" w:fill="FFFFFF"/>
          <w:lang w:val="en-US"/>
        </w:rPr>
        <w:t xml:space="preserve">glucose. A baseline sample from every trial was used to account background isotopic plasma enrichments. </w:t>
      </w:r>
      <w:r w:rsidRPr="000E56FD">
        <w:rPr>
          <w:rFonts w:ascii="Times New Roman" w:hAnsi="Times New Roman" w:cs="Times New Roman"/>
          <w:lang w:val="en-US"/>
        </w:rPr>
        <w:t xml:space="preserve">Plasma glucose flux was assessed using Radziuk’s two-compartment non-steady state model and SAMM II software (SAAM II v2.3, </w:t>
      </w:r>
      <w:proofErr w:type="spellStart"/>
      <w:r w:rsidRPr="000E56FD">
        <w:rPr>
          <w:rFonts w:ascii="Times New Roman" w:hAnsi="Times New Roman" w:cs="Times New Roman"/>
          <w:lang w:val="en-US"/>
        </w:rPr>
        <w:t>Epilson</w:t>
      </w:r>
      <w:proofErr w:type="spellEnd"/>
      <w:r w:rsidRPr="000E56FD">
        <w:rPr>
          <w:rFonts w:ascii="Times New Roman" w:hAnsi="Times New Roman" w:cs="Times New Roman"/>
          <w:lang w:val="en-US"/>
        </w:rPr>
        <w:t xml:space="preserve"> Group, Charlottesville, VA, USA). The calculations used are detailed within the manuscript. </w:t>
      </w:r>
    </w:p>
    <w:p w:rsidR="00DF6E44" w:rsidRDefault="00DF6E44" w:rsidP="003033A0">
      <w:pPr>
        <w:pStyle w:val="Body"/>
        <w:spacing w:after="0" w:line="240" w:lineRule="auto"/>
        <w:jc w:val="both"/>
        <w:rPr>
          <w:rFonts w:ascii="Times New Roman" w:hAnsi="Times New Roman" w:cs="Times New Roman"/>
          <w:lang w:val="en-US"/>
        </w:rPr>
      </w:pPr>
    </w:p>
    <w:p w:rsidR="00DF6E44" w:rsidRDefault="00DF6E44" w:rsidP="003033A0">
      <w:pPr>
        <w:pStyle w:val="Body"/>
        <w:spacing w:after="0" w:line="240" w:lineRule="auto"/>
        <w:jc w:val="both"/>
        <w:rPr>
          <w:rFonts w:ascii="Times New Roman" w:hAnsi="Times New Roman" w:cs="Times New Roman"/>
          <w:lang w:val="en-US"/>
        </w:rPr>
      </w:pPr>
      <w:r>
        <w:rPr>
          <w:rFonts w:ascii="Times New Roman" w:hAnsi="Times New Roman" w:cs="Times New Roman"/>
          <w:lang w:val="en-US"/>
        </w:rPr>
        <w:t>P</w:t>
      </w:r>
      <w:r w:rsidRPr="00DF6E44">
        <w:rPr>
          <w:rFonts w:ascii="Times New Roman" w:hAnsi="Times New Roman" w:cs="Times New Roman"/>
          <w:lang w:val="en-US"/>
        </w:rPr>
        <w:t xml:space="preserve">lasma glucose utilization during exercise </w:t>
      </w:r>
      <w:r>
        <w:rPr>
          <w:rFonts w:ascii="Times New Roman" w:hAnsi="Times New Roman" w:cs="Times New Roman"/>
          <w:lang w:val="en-US"/>
        </w:rPr>
        <w:t>was</w:t>
      </w:r>
      <w:r w:rsidRPr="00DF6E44">
        <w:rPr>
          <w:rFonts w:ascii="Times New Roman" w:hAnsi="Times New Roman" w:cs="Times New Roman"/>
          <w:lang w:val="en-US"/>
        </w:rPr>
        <w:t xml:space="preserve"> assumed to be equivalent to the plasma glucose rate of disposal</w:t>
      </w:r>
      <w:r>
        <w:rPr>
          <w:rFonts w:ascii="Times New Roman" w:hAnsi="Times New Roman" w:cs="Times New Roman"/>
          <w:lang w:val="en-US"/>
        </w:rPr>
        <w:t xml:space="preserve"> (average of 40 and 50 min samples)</w:t>
      </w:r>
      <w:r w:rsidRPr="00DF6E44">
        <w:rPr>
          <w:rFonts w:ascii="Times New Roman" w:hAnsi="Times New Roman" w:cs="Times New Roman"/>
          <w:lang w:val="en-US"/>
        </w:rPr>
        <w:t xml:space="preserve">. Muscle glycogen utilization </w:t>
      </w:r>
      <w:r>
        <w:rPr>
          <w:rFonts w:ascii="Times New Roman" w:hAnsi="Times New Roman" w:cs="Times New Roman"/>
          <w:lang w:val="en-US"/>
        </w:rPr>
        <w:t xml:space="preserve">during exercise </w:t>
      </w:r>
      <w:r w:rsidRPr="00DF6E44">
        <w:rPr>
          <w:rFonts w:ascii="Times New Roman" w:hAnsi="Times New Roman" w:cs="Times New Roman"/>
          <w:lang w:val="en-US"/>
        </w:rPr>
        <w:t>was calculated as total carbohydrate utilization minus plasma glucose utilization</w:t>
      </w:r>
      <w:r>
        <w:rPr>
          <w:rFonts w:ascii="Times New Roman" w:hAnsi="Times New Roman" w:cs="Times New Roman"/>
          <w:lang w:val="en-US"/>
        </w:rPr>
        <w:t xml:space="preserve"> (average of 40 and 50 min samples)</w:t>
      </w:r>
      <w:r w:rsidRPr="00DF6E44">
        <w:rPr>
          <w:rFonts w:ascii="Times New Roman" w:hAnsi="Times New Roman" w:cs="Times New Roman"/>
          <w:lang w:val="en-US"/>
        </w:rPr>
        <w:t xml:space="preserve"> during exercise</w:t>
      </w:r>
    </w:p>
    <w:p w:rsidR="000E56FD" w:rsidRDefault="000E56FD" w:rsidP="003033A0">
      <w:pPr>
        <w:pStyle w:val="Body"/>
        <w:spacing w:after="0" w:line="240" w:lineRule="auto"/>
        <w:jc w:val="both"/>
        <w:rPr>
          <w:rFonts w:ascii="Times New Roman" w:hAnsi="Times New Roman" w:cs="Times New Roman"/>
          <w:lang w:val="en-US"/>
        </w:rPr>
      </w:pPr>
    </w:p>
    <w:p w:rsidR="00DA0632" w:rsidRDefault="00DA0632" w:rsidP="00DA0632">
      <w:pPr>
        <w:jc w:val="both"/>
      </w:pPr>
      <w:r>
        <w:t>FIBROBLAST GROWTH FACTOR 21 (FGF-21) CONCENTRATIONS</w:t>
      </w:r>
    </w:p>
    <w:p w:rsidR="00DA0632" w:rsidRDefault="00DA0632" w:rsidP="00DA0632">
      <w:pPr>
        <w:jc w:val="both"/>
      </w:pPr>
      <w:r>
        <w:t xml:space="preserve">Blood plasma (EDTA-treated) concentrations of </w:t>
      </w:r>
      <w:r w:rsidR="00F73B43">
        <w:t>FGF-21</w:t>
      </w:r>
      <w:r>
        <w:t xml:space="preserve"> were measured </w:t>
      </w:r>
      <w:r w:rsidR="00F73B43">
        <w:t>using a commercially available ELISA kit (</w:t>
      </w:r>
      <w:proofErr w:type="spellStart"/>
      <w:r w:rsidR="00F73B43">
        <w:t>B</w:t>
      </w:r>
      <w:r w:rsidR="00F73B43" w:rsidRPr="00F73B43">
        <w:t>ioVendor</w:t>
      </w:r>
      <w:proofErr w:type="spellEnd"/>
      <w:r w:rsidR="00F73B43" w:rsidRPr="00F73B43">
        <w:t xml:space="preserve"> Research &amp; Diagnostic Products; </w:t>
      </w:r>
      <w:proofErr w:type="spellStart"/>
      <w:r w:rsidR="00F73B43" w:rsidRPr="00F73B43">
        <w:t>Karasek</w:t>
      </w:r>
      <w:proofErr w:type="spellEnd"/>
      <w:r w:rsidR="00F73B43" w:rsidRPr="00F73B43">
        <w:t>, Czech Republic</w:t>
      </w:r>
      <w:r w:rsidR="00F73B43">
        <w:t>)</w:t>
      </w:r>
    </w:p>
    <w:p w:rsidR="00F73B43" w:rsidRDefault="00F73B43" w:rsidP="00DA0632">
      <w:pPr>
        <w:jc w:val="both"/>
      </w:pPr>
    </w:p>
    <w:p w:rsidR="00F73B43" w:rsidRDefault="00F73B43" w:rsidP="00DA0632">
      <w:pPr>
        <w:jc w:val="both"/>
      </w:pPr>
      <w:r>
        <w:t>LEPTIN CONCENTRATIONS</w:t>
      </w:r>
    </w:p>
    <w:p w:rsidR="00F73B43" w:rsidRDefault="00F73B43" w:rsidP="00F73B43">
      <w:pPr>
        <w:jc w:val="both"/>
      </w:pPr>
      <w:r>
        <w:t xml:space="preserve">Blood plasma (EDTA-treated) concentrations of </w:t>
      </w:r>
      <w:r>
        <w:t>leptin</w:t>
      </w:r>
      <w:r>
        <w:t xml:space="preserve"> were measured using a commercially available ELISA kit (</w:t>
      </w:r>
      <w:proofErr w:type="spellStart"/>
      <w:r w:rsidRPr="00F73B43">
        <w:t>Mercodia</w:t>
      </w:r>
      <w:proofErr w:type="spellEnd"/>
      <w:r w:rsidRPr="00F73B43">
        <w:t xml:space="preserve"> AB, Uppsala, Sweden</w:t>
      </w:r>
      <w:r>
        <w:t>)</w:t>
      </w:r>
    </w:p>
    <w:p w:rsidR="00F73B43" w:rsidRDefault="00F73B43" w:rsidP="00DA0632">
      <w:pPr>
        <w:jc w:val="both"/>
      </w:pPr>
    </w:p>
    <w:p w:rsidR="00AF511D" w:rsidRDefault="00AF511D" w:rsidP="00AF511D">
      <w:pPr>
        <w:autoSpaceDE w:val="0"/>
        <w:autoSpaceDN w:val="0"/>
        <w:adjustRightInd w:val="0"/>
        <w:jc w:val="both"/>
        <w:rPr>
          <w:lang w:eastAsia="en-GB"/>
        </w:rPr>
      </w:pPr>
      <w:r>
        <w:rPr>
          <w:lang w:eastAsia="en-GB"/>
        </w:rPr>
        <w:t>TIME-AVERAGED AREA UNDER THE CURVE</w:t>
      </w:r>
    </w:p>
    <w:p w:rsidR="00AF511D" w:rsidRDefault="00AF511D" w:rsidP="00AF511D">
      <w:pPr>
        <w:autoSpaceDE w:val="0"/>
        <w:autoSpaceDN w:val="0"/>
        <w:adjustRightInd w:val="0"/>
        <w:jc w:val="both"/>
        <w:rPr>
          <w:lang w:eastAsia="en-GB"/>
        </w:rPr>
      </w:pPr>
      <w:r w:rsidRPr="001632FA">
        <w:rPr>
          <w:lang w:eastAsia="en-GB"/>
        </w:rPr>
        <w:t>The time-averaged area underneath the concentration-time cur</w:t>
      </w:r>
      <w:r>
        <w:rPr>
          <w:lang w:eastAsia="en-GB"/>
        </w:rPr>
        <w:t xml:space="preserve">ve (AUC) for the plasma </w:t>
      </w:r>
      <w:r>
        <w:rPr>
          <w:lang w:eastAsia="en-GB"/>
        </w:rPr>
        <w:t xml:space="preserve">FGF-21 and leptin </w:t>
      </w:r>
      <w:r w:rsidRPr="001632FA">
        <w:rPr>
          <w:lang w:eastAsia="en-GB"/>
        </w:rPr>
        <w:t>responses w</w:t>
      </w:r>
      <w:r>
        <w:rPr>
          <w:lang w:eastAsia="en-GB"/>
        </w:rPr>
        <w:t>ere</w:t>
      </w:r>
      <w:r w:rsidRPr="001632FA">
        <w:rPr>
          <w:lang w:eastAsia="en-GB"/>
        </w:rPr>
        <w:t xml:space="preserve"> calculated </w:t>
      </w:r>
      <w:r>
        <w:rPr>
          <w:lang w:eastAsia="en-GB"/>
        </w:rPr>
        <w:t xml:space="preserve">via the trapezoid rule. </w:t>
      </w:r>
      <w:r>
        <w:rPr>
          <w:lang w:eastAsia="en-GB"/>
        </w:rPr>
        <w:t>This</w:t>
      </w:r>
      <w:r>
        <w:rPr>
          <w:lang w:eastAsia="en-GB"/>
        </w:rPr>
        <w:t xml:space="preserve"> was divided by the time over which samples were collected to provide a time-averaged AUC.  </w:t>
      </w:r>
      <w:bookmarkStart w:id="0" w:name="_GoBack"/>
      <w:bookmarkEnd w:id="0"/>
    </w:p>
    <w:p w:rsidR="003033A0" w:rsidRPr="000E56FD" w:rsidRDefault="003033A0" w:rsidP="003033A0">
      <w:pPr>
        <w:pStyle w:val="Body"/>
        <w:spacing w:after="0" w:line="240" w:lineRule="auto"/>
        <w:jc w:val="both"/>
        <w:rPr>
          <w:rFonts w:ascii="Times New Roman" w:hAnsi="Times New Roman" w:cs="Times New Roman"/>
          <w:color w:val="000000" w:themeColor="text1"/>
          <w:shd w:val="clear" w:color="auto" w:fill="FFFFFF"/>
          <w:lang w:val="en-US"/>
        </w:rPr>
      </w:pPr>
    </w:p>
    <w:sectPr w:rsidR="003033A0" w:rsidRPr="000E56F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051"/>
    <w:rsid w:val="000533A7"/>
    <w:rsid w:val="00073077"/>
    <w:rsid w:val="000D1E8E"/>
    <w:rsid w:val="000E56FD"/>
    <w:rsid w:val="000F2769"/>
    <w:rsid w:val="001621F5"/>
    <w:rsid w:val="001632FA"/>
    <w:rsid w:val="00163651"/>
    <w:rsid w:val="001B03A9"/>
    <w:rsid w:val="001E0F4E"/>
    <w:rsid w:val="002251CF"/>
    <w:rsid w:val="00291383"/>
    <w:rsid w:val="00302CE7"/>
    <w:rsid w:val="003033A0"/>
    <w:rsid w:val="00380201"/>
    <w:rsid w:val="003C196B"/>
    <w:rsid w:val="003E385D"/>
    <w:rsid w:val="00446FCA"/>
    <w:rsid w:val="00471899"/>
    <w:rsid w:val="004D36A4"/>
    <w:rsid w:val="00513C46"/>
    <w:rsid w:val="00540862"/>
    <w:rsid w:val="00580069"/>
    <w:rsid w:val="00594301"/>
    <w:rsid w:val="005A1E4E"/>
    <w:rsid w:val="005A22C4"/>
    <w:rsid w:val="005D75C6"/>
    <w:rsid w:val="005F5AE9"/>
    <w:rsid w:val="006066F7"/>
    <w:rsid w:val="00610BCE"/>
    <w:rsid w:val="00614210"/>
    <w:rsid w:val="006E3051"/>
    <w:rsid w:val="00735556"/>
    <w:rsid w:val="0074719A"/>
    <w:rsid w:val="00853D6E"/>
    <w:rsid w:val="00867E66"/>
    <w:rsid w:val="0091726E"/>
    <w:rsid w:val="00987D10"/>
    <w:rsid w:val="00A054AB"/>
    <w:rsid w:val="00A63677"/>
    <w:rsid w:val="00A9278F"/>
    <w:rsid w:val="00AA7B60"/>
    <w:rsid w:val="00AF2AC2"/>
    <w:rsid w:val="00AF511D"/>
    <w:rsid w:val="00B147B1"/>
    <w:rsid w:val="00B17612"/>
    <w:rsid w:val="00BA2D58"/>
    <w:rsid w:val="00C01041"/>
    <w:rsid w:val="00C46401"/>
    <w:rsid w:val="00C6178C"/>
    <w:rsid w:val="00CB6815"/>
    <w:rsid w:val="00CC3363"/>
    <w:rsid w:val="00CF0EE8"/>
    <w:rsid w:val="00D331E4"/>
    <w:rsid w:val="00DA0632"/>
    <w:rsid w:val="00DC10F4"/>
    <w:rsid w:val="00DE159B"/>
    <w:rsid w:val="00DF6E44"/>
    <w:rsid w:val="00E77BD4"/>
    <w:rsid w:val="00F07A1E"/>
    <w:rsid w:val="00F14C3B"/>
    <w:rsid w:val="00F25640"/>
    <w:rsid w:val="00F664AC"/>
    <w:rsid w:val="00F73B43"/>
    <w:rsid w:val="00FD1A06"/>
    <w:rsid w:val="00FF1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EFF99B-900E-4BD6-BA4F-9C8AED03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05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name">
    <w:name w:val="person_name"/>
    <w:rsid w:val="00380201"/>
  </w:style>
  <w:style w:type="character" w:customStyle="1" w:styleId="bathname930b3a2ae240cedf1c5181c7a7cf8025">
    <w:name w:val="bath_name_930b3a2ae240cedf1c5181c7a7cf8025"/>
    <w:rsid w:val="00380201"/>
  </w:style>
  <w:style w:type="character" w:styleId="Hyperlink">
    <w:name w:val="Hyperlink"/>
    <w:basedOn w:val="DefaultParagraphFont"/>
    <w:uiPriority w:val="99"/>
    <w:rsid w:val="00CF0EE8"/>
    <w:rPr>
      <w:color w:val="0563C1" w:themeColor="hyperlink"/>
      <w:u w:val="single"/>
    </w:rPr>
  </w:style>
  <w:style w:type="paragraph" w:customStyle="1" w:styleId="Body">
    <w:name w:val="Body"/>
    <w:link w:val="BodyChar"/>
    <w:rsid w:val="000E56FD"/>
    <w:pPr>
      <w:pBdr>
        <w:top w:val="nil"/>
        <w:left w:val="nil"/>
        <w:bottom w:val="nil"/>
        <w:right w:val="nil"/>
        <w:between w:val="nil"/>
        <w:bar w:val="nil"/>
      </w:pBdr>
      <w:spacing w:after="200" w:line="276" w:lineRule="auto"/>
    </w:pPr>
    <w:rPr>
      <w:rFonts w:ascii="Arial" w:eastAsia="Arial Unicode MS" w:hAnsi="Arial" w:cs="Arial Unicode MS"/>
      <w:color w:val="000000"/>
      <w:sz w:val="24"/>
      <w:szCs w:val="24"/>
      <w:u w:color="000000"/>
      <w:bdr w:val="nil"/>
      <w:lang w:val="de-DE"/>
    </w:rPr>
  </w:style>
  <w:style w:type="character" w:customStyle="1" w:styleId="BodyChar">
    <w:name w:val="Body Char"/>
    <w:link w:val="Body"/>
    <w:rsid w:val="000E56FD"/>
    <w:rPr>
      <w:rFonts w:ascii="Arial" w:eastAsia="Arial Unicode MS" w:hAnsi="Arial" w:cs="Arial Unicode MS"/>
      <w:color w:val="000000"/>
      <w:sz w:val="24"/>
      <w:szCs w:val="24"/>
      <w:u w:color="000000"/>
      <w:bdr w:val="ni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9D2009AD.dotm</Template>
  <TotalTime>15</TotalTime>
  <Pages>4</Pages>
  <Words>1867</Words>
  <Characters>10282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Jean-Philippe Walhin</dc:creator>
  <cp:keywords/>
  <dc:description/>
  <cp:lastModifiedBy>Rob Edinburgh</cp:lastModifiedBy>
  <cp:revision>6</cp:revision>
  <dcterms:created xsi:type="dcterms:W3CDTF">2019-02-27T10:15:00Z</dcterms:created>
  <dcterms:modified xsi:type="dcterms:W3CDTF">2019-02-27T10:34:00Z</dcterms:modified>
</cp:coreProperties>
</file>