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4"/>
        <w:gridCol w:w="2869"/>
      </w:tblGrid>
      <w:tr w:rsidR="00E914FB" w:rsidRPr="003936FC" w14:paraId="082069E5" w14:textId="77777777" w:rsidTr="008D6648">
        <w:tc>
          <w:tcPr>
            <w:tcW w:w="7054" w:type="dxa"/>
          </w:tcPr>
          <w:p w14:paraId="34D75167" w14:textId="3461EF2A" w:rsidR="00E914FB" w:rsidRPr="004C66FF" w:rsidRDefault="004C66FF" w:rsidP="00E914FB">
            <w:pPr>
              <w:rPr>
                <w:rFonts w:ascii="Europa-Regular" w:hAnsi="Europa-Regular"/>
                <w:b/>
                <w:bCs/>
                <w:sz w:val="40"/>
                <w:szCs w:val="40"/>
              </w:rPr>
            </w:pPr>
            <w:r w:rsidRPr="004C66FF">
              <w:rPr>
                <w:rFonts w:ascii="Europa-Regular" w:hAnsi="Europa-Regular"/>
                <w:b/>
                <w:bCs/>
                <w:sz w:val="40"/>
                <w:szCs w:val="40"/>
              </w:rPr>
              <w:t xml:space="preserve">Introducing cosmopolitan memory </w:t>
            </w:r>
          </w:p>
        </w:tc>
        <w:tc>
          <w:tcPr>
            <w:tcW w:w="2869" w:type="dxa"/>
          </w:tcPr>
          <w:p w14:paraId="435AA95F" w14:textId="77777777" w:rsidR="00E914FB" w:rsidRPr="003936FC" w:rsidRDefault="00E914FB" w:rsidP="00E914FB">
            <w:pPr>
              <w:jc w:val="right"/>
              <w:rPr>
                <w:rFonts w:ascii="Europa-Regular" w:hAnsi="Europa-Regular"/>
                <w:b/>
                <w:sz w:val="24"/>
                <w:szCs w:val="24"/>
              </w:rPr>
            </w:pPr>
            <w:r w:rsidRPr="003936FC">
              <w:rPr>
                <w:rFonts w:ascii="Europa-Regular" w:hAnsi="Europa-Regular"/>
                <w:b/>
                <w:noProof/>
                <w:sz w:val="24"/>
                <w:szCs w:val="24"/>
                <w:lang w:val="en-US"/>
              </w:rPr>
              <w:drawing>
                <wp:inline distT="0" distB="0" distL="0" distR="0" wp14:anchorId="0442A0B1" wp14:editId="0B1B5A88">
                  <wp:extent cx="1484525" cy="608738"/>
                  <wp:effectExtent l="0" t="0" r="1905" b="1270"/>
                  <wp:docPr id="1026" name="Picture 2" descr="C:\Users\Nitin Parmar\Desktop\uob-logo-black-transparen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Nitin Parmar\Desktop\uob-logo-black-transparent.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4525" cy="608738"/>
                          </a:xfrm>
                          <a:prstGeom prst="rect">
                            <a:avLst/>
                          </a:prstGeom>
                          <a:noFill/>
                          <a:extLst/>
                        </pic:spPr>
                      </pic:pic>
                    </a:graphicData>
                  </a:graphic>
                </wp:inline>
              </w:drawing>
            </w:r>
          </w:p>
        </w:tc>
      </w:tr>
    </w:tbl>
    <w:p w14:paraId="193AF63E" w14:textId="77777777" w:rsidR="004C66FF" w:rsidRPr="004C66FF" w:rsidRDefault="004C66FF" w:rsidP="004C66FF">
      <w:pPr>
        <w:pStyle w:val="NormalWeb"/>
        <w:jc w:val="both"/>
        <w:rPr>
          <w:rFonts w:ascii="Europa-Regular" w:hAnsi="Europa-Regular"/>
          <w:b/>
          <w:bCs/>
        </w:rPr>
      </w:pPr>
      <w:r w:rsidRPr="004C66FF">
        <w:rPr>
          <w:rFonts w:ascii="Europa-Regular" w:hAnsi="Europa-Regular"/>
          <w:b/>
          <w:bCs/>
        </w:rPr>
        <w:t xml:space="preserve">In </w:t>
      </w:r>
      <w:bookmarkStart w:id="0" w:name="_GoBack"/>
      <w:bookmarkEnd w:id="0"/>
      <w:r w:rsidRPr="004C66FF">
        <w:rPr>
          <w:rFonts w:ascii="Europa-Regular" w:hAnsi="Europa-Regular"/>
          <w:b/>
          <w:bCs/>
        </w:rPr>
        <w:t xml:space="preserve">the second week of this course, Professor Wulf </w:t>
      </w:r>
      <w:proofErr w:type="spellStart"/>
      <w:r w:rsidRPr="004C66FF">
        <w:rPr>
          <w:rFonts w:ascii="Europa-Regular" w:hAnsi="Europa-Regular"/>
          <w:b/>
          <w:bCs/>
        </w:rPr>
        <w:t>Kansteiner</w:t>
      </w:r>
      <w:proofErr w:type="spellEnd"/>
      <w:r w:rsidRPr="004C66FF">
        <w:rPr>
          <w:rFonts w:ascii="Europa-Regular" w:hAnsi="Europa-Regular"/>
          <w:b/>
          <w:bCs/>
        </w:rPr>
        <w:t xml:space="preserve"> began by introducing the concept of cosmopolitan memory and explaining its characteristics. The remaining video steps this week will look at examples of cosmopolitan memory in museum exhibits and mass grave exhumations. You will have the opportunity to review what you have learnt in a quiz and join the debate, discussing the strengths and weaknesses of this memory model.</w:t>
      </w:r>
    </w:p>
    <w:p w14:paraId="06056A2A" w14:textId="77777777" w:rsidR="004C66FF" w:rsidRPr="004C66FF" w:rsidRDefault="004C66FF" w:rsidP="004C66FF">
      <w:pPr>
        <w:pStyle w:val="NormalWeb"/>
        <w:jc w:val="both"/>
        <w:rPr>
          <w:rFonts w:ascii="Europa-Regular" w:hAnsi="Europa-Regular"/>
        </w:rPr>
      </w:pPr>
      <w:r w:rsidRPr="004C66FF">
        <w:rPr>
          <w:rFonts w:ascii="Europa-Regular" w:hAnsi="Europa-Regular"/>
        </w:rPr>
        <w:t xml:space="preserve">The </w:t>
      </w:r>
      <w:hyperlink r:id="rId9" w:history="1">
        <w:r w:rsidRPr="004C66FF">
          <w:rPr>
            <w:rStyle w:val="Hyperlink"/>
            <w:rFonts w:ascii="Europa-Regular" w:hAnsi="Europa-Regular"/>
          </w:rPr>
          <w:t>philosophy of cosmopolitanism</w:t>
        </w:r>
      </w:hyperlink>
      <w:r w:rsidRPr="004C66FF">
        <w:rPr>
          <w:rFonts w:ascii="Europa-Regular" w:hAnsi="Europa-Regular"/>
        </w:rPr>
        <w:t xml:space="preserve"> dates to the Ancient Greeks, but as a political and ideological stance it is closely linked to globalisation which emerged strongly after the collapse of the Soviet Union in 1989. This form of cosmopolitanism is defined as:</w:t>
      </w:r>
    </w:p>
    <w:p w14:paraId="18C6853B" w14:textId="77777777" w:rsidR="004C66FF" w:rsidRPr="004C66FF" w:rsidRDefault="004C66FF" w:rsidP="004C66FF">
      <w:pPr>
        <w:pStyle w:val="NormalWeb"/>
        <w:jc w:val="both"/>
        <w:rPr>
          <w:rFonts w:ascii="Europa-Regular" w:hAnsi="Europa-Regular"/>
        </w:rPr>
      </w:pPr>
      <w:r w:rsidRPr="004C66FF">
        <w:rPr>
          <w:rFonts w:ascii="Europa-Regular" w:hAnsi="Europa-Regular"/>
          <w:i/>
          <w:iCs/>
        </w:rPr>
        <w:t>‘A global politics that firstly, projects a sociality of common political engagement among all human beings across the globe, and, secondly, suggests that this sociality should be either ethically or organisationally privileged over other forms of sociality’</w:t>
      </w:r>
      <w:r w:rsidRPr="004C66FF">
        <w:rPr>
          <w:rFonts w:ascii="Europa-Regular" w:hAnsi="Europa-Regular"/>
        </w:rPr>
        <w:t xml:space="preserve"> (</w:t>
      </w:r>
      <w:hyperlink r:id="rId10" w:history="1">
        <w:r w:rsidRPr="004C66FF">
          <w:rPr>
            <w:rStyle w:val="Hyperlink"/>
            <w:rFonts w:ascii="Europa-Regular" w:hAnsi="Europa-Regular"/>
          </w:rPr>
          <w:t>James</w:t>
        </w:r>
      </w:hyperlink>
      <w:r w:rsidRPr="004C66FF">
        <w:rPr>
          <w:rFonts w:ascii="Europa-Regular" w:hAnsi="Europa-Regular"/>
        </w:rPr>
        <w:t>, 2014:x).</w:t>
      </w:r>
    </w:p>
    <w:p w14:paraId="12F1F636" w14:textId="77777777" w:rsidR="004C66FF" w:rsidRPr="004C66FF" w:rsidRDefault="004C66FF" w:rsidP="004C66FF">
      <w:pPr>
        <w:pStyle w:val="NormalWeb"/>
        <w:jc w:val="both"/>
        <w:rPr>
          <w:rFonts w:ascii="Europa-Regular" w:hAnsi="Europa-Regular"/>
        </w:rPr>
      </w:pPr>
      <w:r w:rsidRPr="004C66FF">
        <w:rPr>
          <w:rFonts w:ascii="Europa-Regular" w:hAnsi="Europa-Regular"/>
        </w:rPr>
        <w:t>Cosmopolitanism is linked to two important phenomena:</w:t>
      </w:r>
    </w:p>
    <w:p w14:paraId="677F3DEC" w14:textId="77777777" w:rsidR="004C66FF" w:rsidRPr="004C66FF" w:rsidRDefault="004C66FF" w:rsidP="004C66FF">
      <w:pPr>
        <w:pStyle w:val="NormalWeb"/>
        <w:numPr>
          <w:ilvl w:val="0"/>
          <w:numId w:val="2"/>
        </w:numPr>
        <w:jc w:val="both"/>
        <w:rPr>
          <w:rFonts w:ascii="Europa-Regular" w:hAnsi="Europa-Regular"/>
        </w:rPr>
      </w:pPr>
      <w:r w:rsidRPr="004C66FF">
        <w:rPr>
          <w:rFonts w:ascii="Europa-Regular" w:hAnsi="Europa-Regular"/>
        </w:rPr>
        <w:t xml:space="preserve">The </w:t>
      </w:r>
      <w:r w:rsidRPr="004C66FF">
        <w:rPr>
          <w:rFonts w:ascii="Europa-Regular" w:hAnsi="Europa-Regular"/>
          <w:b/>
          <w:bCs/>
        </w:rPr>
        <w:t>transnational memory of the Holocaust</w:t>
      </w:r>
      <w:r w:rsidRPr="004C66FF">
        <w:rPr>
          <w:rFonts w:ascii="Europa-Regular" w:hAnsi="Europa-Regular"/>
        </w:rPr>
        <w:t xml:space="preserve">, which emerged in the 1970s, gained wide public recognition through mass media. For example, the famous television series </w:t>
      </w:r>
      <w:r w:rsidRPr="004C66FF">
        <w:rPr>
          <w:rFonts w:ascii="Europa-Regular" w:hAnsi="Europa-Regular"/>
          <w:i/>
          <w:iCs/>
        </w:rPr>
        <w:t>Holocaust</w:t>
      </w:r>
      <w:r w:rsidRPr="004C66FF">
        <w:rPr>
          <w:rFonts w:ascii="Europa-Regular" w:hAnsi="Europa-Regular"/>
        </w:rPr>
        <w:t xml:space="preserve"> in 1978, a four-part TV drama created in the United States was shown world-wide. Memory studies researchers consider this mini-series as a watershed production, which not only significantly increased public awareness, but also deeply influenced (trans)national memorialisation of the Holocaust by focusing on the suffering of its victims.</w:t>
      </w:r>
    </w:p>
    <w:p w14:paraId="17776B71" w14:textId="77777777" w:rsidR="004C66FF" w:rsidRPr="004C66FF" w:rsidRDefault="004C66FF" w:rsidP="004C66FF">
      <w:pPr>
        <w:pStyle w:val="NormalWeb"/>
        <w:numPr>
          <w:ilvl w:val="0"/>
          <w:numId w:val="2"/>
        </w:numPr>
        <w:jc w:val="both"/>
        <w:rPr>
          <w:rFonts w:ascii="Europa-Regular" w:hAnsi="Europa-Regular"/>
        </w:rPr>
      </w:pPr>
      <w:r w:rsidRPr="004C66FF">
        <w:rPr>
          <w:rFonts w:ascii="Europa-Regular" w:hAnsi="Europa-Regular"/>
        </w:rPr>
        <w:t xml:space="preserve">The desire to </w:t>
      </w:r>
      <w:r w:rsidRPr="004C66FF">
        <w:rPr>
          <w:rFonts w:ascii="Europa-Regular" w:hAnsi="Europa-Regular"/>
          <w:b/>
          <w:bCs/>
        </w:rPr>
        <w:t>come to terms</w:t>
      </w:r>
      <w:r w:rsidRPr="004C66FF">
        <w:rPr>
          <w:rFonts w:ascii="Europa-Regular" w:hAnsi="Europa-Regular"/>
        </w:rPr>
        <w:t xml:space="preserve"> with the violent past of the twentieth century, influenced by a </w:t>
      </w:r>
      <w:r w:rsidRPr="004C66FF">
        <w:rPr>
          <w:rFonts w:ascii="Europa-Regular" w:hAnsi="Europa-Regular"/>
          <w:b/>
          <w:bCs/>
        </w:rPr>
        <w:t>human rights</w:t>
      </w:r>
      <w:r w:rsidRPr="004C66FF">
        <w:rPr>
          <w:rFonts w:ascii="Europa-Regular" w:hAnsi="Europa-Regular"/>
        </w:rPr>
        <w:t xml:space="preserve"> agenda which also emerged in the 1970s, but which then became particularly prominent after the end of the Cold War.</w:t>
      </w:r>
    </w:p>
    <w:p w14:paraId="5B618652" w14:textId="77777777" w:rsidR="004C66FF" w:rsidRPr="004C66FF" w:rsidRDefault="004C66FF" w:rsidP="004C66FF">
      <w:pPr>
        <w:pStyle w:val="NormalWeb"/>
        <w:jc w:val="both"/>
        <w:rPr>
          <w:rFonts w:ascii="Europa-Regular" w:hAnsi="Europa-Regular"/>
        </w:rPr>
      </w:pPr>
      <w:r w:rsidRPr="004C66FF">
        <w:rPr>
          <w:rFonts w:ascii="Europa-Regular" w:hAnsi="Europa-Regular"/>
        </w:rPr>
        <w:t xml:space="preserve">Both phenomena contributed to a specific </w:t>
      </w:r>
      <w:r w:rsidRPr="004C66FF">
        <w:rPr>
          <w:rFonts w:ascii="Europa-Regular" w:hAnsi="Europa-Regular"/>
          <w:b/>
          <w:bCs/>
        </w:rPr>
        <w:t>attitude towards victimhood</w:t>
      </w:r>
      <w:r w:rsidRPr="004C66FF">
        <w:rPr>
          <w:rFonts w:ascii="Europa-Regular" w:hAnsi="Europa-Regular"/>
        </w:rPr>
        <w:t xml:space="preserve"> which characterises cosmopolitan memory. Narratives of the past which are influenced by this approach focus strongly on the </w:t>
      </w:r>
      <w:r w:rsidRPr="004C66FF">
        <w:rPr>
          <w:rFonts w:ascii="Europa-Regular" w:hAnsi="Europa-Regular"/>
          <w:b/>
          <w:bCs/>
        </w:rPr>
        <w:t>suffering of the victim</w:t>
      </w:r>
      <w:r w:rsidRPr="004C66FF">
        <w:rPr>
          <w:rFonts w:ascii="Europa-Regular" w:hAnsi="Europa-Regular"/>
        </w:rPr>
        <w:t xml:space="preserve">, whilst </w:t>
      </w:r>
      <w:r w:rsidRPr="004C66FF">
        <w:rPr>
          <w:rFonts w:ascii="Europa-Regular" w:hAnsi="Europa-Regular"/>
          <w:b/>
          <w:bCs/>
        </w:rPr>
        <w:t>erasing</w:t>
      </w:r>
      <w:r w:rsidRPr="004C66FF">
        <w:rPr>
          <w:rFonts w:ascii="Europa-Regular" w:hAnsi="Europa-Regular"/>
        </w:rPr>
        <w:t xml:space="preserve"> the traditional image of the </w:t>
      </w:r>
      <w:r w:rsidRPr="004C66FF">
        <w:rPr>
          <w:rFonts w:ascii="Europa-Regular" w:hAnsi="Europa-Regular"/>
          <w:b/>
          <w:bCs/>
        </w:rPr>
        <w:t>hero</w:t>
      </w:r>
      <w:r w:rsidRPr="004C66FF">
        <w:rPr>
          <w:rFonts w:ascii="Europa-Regular" w:hAnsi="Europa-Regular"/>
        </w:rPr>
        <w:t xml:space="preserve">, and the </w:t>
      </w:r>
      <w:r w:rsidRPr="004C66FF">
        <w:rPr>
          <w:rFonts w:ascii="Europa-Regular" w:hAnsi="Europa-Regular"/>
          <w:b/>
          <w:bCs/>
        </w:rPr>
        <w:t>perpetrator</w:t>
      </w:r>
      <w:r w:rsidRPr="004C66FF">
        <w:rPr>
          <w:rFonts w:ascii="Europa-Regular" w:hAnsi="Europa-Regular"/>
        </w:rPr>
        <w:t xml:space="preserve">. Good and evil are considered to be </w:t>
      </w:r>
      <w:r w:rsidRPr="004C66FF">
        <w:rPr>
          <w:rFonts w:ascii="Europa-Regular" w:hAnsi="Europa-Regular"/>
          <w:b/>
          <w:bCs/>
        </w:rPr>
        <w:t>abstract categories</w:t>
      </w:r>
      <w:r w:rsidRPr="004C66FF">
        <w:rPr>
          <w:rFonts w:ascii="Europa-Regular" w:hAnsi="Europa-Regular"/>
        </w:rPr>
        <w:t>, with human rights and democracy seen as good, and totalitarianism as evil.</w:t>
      </w:r>
    </w:p>
    <w:p w14:paraId="476AE170" w14:textId="77777777" w:rsidR="004C66FF" w:rsidRPr="004C66FF" w:rsidRDefault="004C66FF" w:rsidP="004C66FF">
      <w:pPr>
        <w:pStyle w:val="NormalWeb"/>
        <w:jc w:val="both"/>
        <w:rPr>
          <w:rFonts w:ascii="Europa-Regular" w:hAnsi="Europa-Regular"/>
        </w:rPr>
      </w:pPr>
      <w:r w:rsidRPr="004C66FF">
        <w:rPr>
          <w:rFonts w:ascii="Europa-Regular" w:hAnsi="Europa-Regular"/>
        </w:rPr>
        <w:t xml:space="preserve">Whereas antagonistic memory promotes the pre-eminence of the nation state, cosmopolitan memory believes that nation states are </w:t>
      </w:r>
      <w:r w:rsidRPr="004C66FF">
        <w:rPr>
          <w:rFonts w:ascii="Europa-Regular" w:hAnsi="Europa-Regular"/>
          <w:b/>
          <w:bCs/>
        </w:rPr>
        <w:t>interconnected</w:t>
      </w:r>
      <w:r w:rsidRPr="004C66FF">
        <w:rPr>
          <w:rFonts w:ascii="Europa-Regular" w:hAnsi="Europa-Regular"/>
        </w:rPr>
        <w:t xml:space="preserve"> and stresses that </w:t>
      </w:r>
      <w:r w:rsidRPr="004C66FF">
        <w:rPr>
          <w:rFonts w:ascii="Europa-Regular" w:hAnsi="Europa-Regular"/>
          <w:b/>
          <w:bCs/>
        </w:rPr>
        <w:t>divisions between nations are being broken down.</w:t>
      </w:r>
      <w:r w:rsidRPr="004C66FF">
        <w:rPr>
          <w:rFonts w:ascii="Europa-Regular" w:hAnsi="Europa-Regular"/>
        </w:rPr>
        <w:t xml:space="preserve"> This memory mode easily fits with supranational organisations like the </w:t>
      </w:r>
      <w:r w:rsidRPr="004C66FF">
        <w:rPr>
          <w:rFonts w:ascii="Europa-Regular" w:hAnsi="Europa-Regular"/>
          <w:b/>
          <w:bCs/>
        </w:rPr>
        <w:t>European Union.</w:t>
      </w:r>
      <w:r w:rsidRPr="004C66FF">
        <w:rPr>
          <w:rFonts w:ascii="Europa-Regular" w:hAnsi="Europa-Regular"/>
        </w:rPr>
        <w:t xml:space="preserve"> It emphasises positive, but abstract, notions of European-ness over nationalist sentiments.</w:t>
      </w:r>
    </w:p>
    <w:p w14:paraId="6A5763DF" w14:textId="77777777" w:rsidR="004C66FF" w:rsidRPr="004C66FF" w:rsidRDefault="004C66FF" w:rsidP="004C66FF">
      <w:pPr>
        <w:pStyle w:val="NormalWeb"/>
        <w:jc w:val="both"/>
        <w:rPr>
          <w:rFonts w:ascii="Europa-Regular" w:hAnsi="Europa-Regular"/>
        </w:rPr>
      </w:pPr>
      <w:r w:rsidRPr="004C66FF">
        <w:rPr>
          <w:rFonts w:ascii="Europa-Regular" w:hAnsi="Europa-Regular"/>
        </w:rPr>
        <w:t xml:space="preserve">Unlike antagonistic memory, cosmopolitan memory is </w:t>
      </w:r>
      <w:r w:rsidRPr="004C66FF">
        <w:rPr>
          <w:rFonts w:ascii="Europa-Regular" w:hAnsi="Europa-Regular"/>
          <w:b/>
          <w:bCs/>
        </w:rPr>
        <w:t>reflexive and dialogic</w:t>
      </w:r>
      <w:r w:rsidRPr="004C66FF">
        <w:rPr>
          <w:rFonts w:ascii="Europa-Regular" w:hAnsi="Europa-Regular"/>
        </w:rPr>
        <w:t xml:space="preserve">, it promotes an awareness that our memories are constructed. It considers dialogue as a </w:t>
      </w:r>
      <w:r w:rsidRPr="004C66FF">
        <w:rPr>
          <w:rFonts w:ascii="Europa-Regular" w:hAnsi="Europa-Regular"/>
          <w:b/>
          <w:bCs/>
        </w:rPr>
        <w:t>means of achieving reconciliation</w:t>
      </w:r>
      <w:r w:rsidRPr="004C66FF">
        <w:rPr>
          <w:rFonts w:ascii="Europa-Regular" w:hAnsi="Europa-Regular"/>
        </w:rPr>
        <w:t xml:space="preserve">, but it does not incorporate the perspective of the perpetrator. Unlike antagonistic memory, emotions and passions are restricted to </w:t>
      </w:r>
      <w:r w:rsidRPr="004C66FF">
        <w:rPr>
          <w:rFonts w:ascii="Europa-Regular" w:hAnsi="Europa-Regular"/>
          <w:b/>
          <w:bCs/>
        </w:rPr>
        <w:t>compassion</w:t>
      </w:r>
      <w:r w:rsidRPr="004C66FF">
        <w:rPr>
          <w:rFonts w:ascii="Europa-Regular" w:hAnsi="Europa-Regular"/>
        </w:rPr>
        <w:t xml:space="preserve"> for the suffering of the victims.</w:t>
      </w:r>
    </w:p>
    <w:p w14:paraId="359F4837" w14:textId="77777777" w:rsidR="004C66FF" w:rsidRPr="004C66FF" w:rsidRDefault="004C66FF" w:rsidP="004C66FF">
      <w:pPr>
        <w:pStyle w:val="NormalWeb"/>
        <w:jc w:val="both"/>
        <w:rPr>
          <w:rFonts w:ascii="Europa-Regular" w:hAnsi="Europa-Regular"/>
        </w:rPr>
      </w:pPr>
    </w:p>
    <w:p w14:paraId="722EB0D4" w14:textId="063062B2" w:rsidR="004A0314" w:rsidRPr="003936FC" w:rsidRDefault="004A0314" w:rsidP="00E93E82">
      <w:pPr>
        <w:pStyle w:val="NormalWeb"/>
        <w:jc w:val="both"/>
        <w:rPr>
          <w:rFonts w:ascii="Europa-Regular" w:hAnsi="Europa-Regular"/>
        </w:rPr>
      </w:pPr>
    </w:p>
    <w:sectPr w:rsidR="004A0314" w:rsidRPr="003936F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2930B" w14:textId="77777777" w:rsidR="00E34E6E" w:rsidRDefault="00E34E6E" w:rsidP="00E914FB">
      <w:pPr>
        <w:spacing w:after="0" w:line="240" w:lineRule="auto"/>
      </w:pPr>
      <w:r>
        <w:separator/>
      </w:r>
    </w:p>
  </w:endnote>
  <w:endnote w:type="continuationSeparator" w:id="0">
    <w:p w14:paraId="6B98555D" w14:textId="77777777" w:rsidR="00E34E6E" w:rsidRDefault="00E34E6E" w:rsidP="00E9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ropa-Regular">
    <w:altName w:val="Calibri"/>
    <w:panose1 w:val="020B0604020202020204"/>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0615513"/>
      <w:docPartObj>
        <w:docPartGallery w:val="Page Numbers (Bottom of Page)"/>
        <w:docPartUnique/>
      </w:docPartObj>
    </w:sdtPr>
    <w:sdtEndPr>
      <w:rPr>
        <w:noProof/>
      </w:rPr>
    </w:sdtEndPr>
    <w:sdtContent>
      <w:p w14:paraId="5BF41F5C" w14:textId="667A0FA4" w:rsidR="00E34E6E" w:rsidRDefault="00E34E6E" w:rsidP="00334E93">
        <w:pPr>
          <w:pStyle w:val="Footer"/>
        </w:pPr>
        <w:r>
          <w:t xml:space="preserve">© University of Bath </w:t>
        </w:r>
        <w:r>
          <w:tab/>
        </w:r>
        <w:r>
          <w:tab/>
          <w:t xml:space="preserve">  </w:t>
        </w:r>
        <w:r>
          <w:fldChar w:fldCharType="begin"/>
        </w:r>
        <w:r>
          <w:instrText xml:space="preserve"> PAGE   \* MERGEFORMAT </w:instrText>
        </w:r>
        <w:r>
          <w:fldChar w:fldCharType="separate"/>
        </w:r>
        <w:r w:rsidR="00E93E82">
          <w:rPr>
            <w:noProof/>
          </w:rPr>
          <w:t>1</w:t>
        </w:r>
        <w:r>
          <w:rPr>
            <w:noProof/>
          </w:rPr>
          <w:fldChar w:fldCharType="end"/>
        </w:r>
      </w:p>
    </w:sdtContent>
  </w:sdt>
  <w:p w14:paraId="3F63F732" w14:textId="77777777" w:rsidR="00E34E6E" w:rsidRPr="00E914FB" w:rsidRDefault="00E34E6E">
    <w:pPr>
      <w:pStyle w:val="Footer"/>
      <w:rPr>
        <w:rFonts w:ascii="Europa-Regular" w:hAnsi="Europa-Regula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CB7AC" w14:textId="77777777" w:rsidR="00E34E6E" w:rsidRDefault="00E34E6E" w:rsidP="00E914FB">
      <w:pPr>
        <w:spacing w:after="0" w:line="240" w:lineRule="auto"/>
      </w:pPr>
      <w:r>
        <w:separator/>
      </w:r>
    </w:p>
  </w:footnote>
  <w:footnote w:type="continuationSeparator" w:id="0">
    <w:p w14:paraId="5FD99683" w14:textId="77777777" w:rsidR="00E34E6E" w:rsidRDefault="00E34E6E" w:rsidP="00E91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9306" w14:textId="77777777" w:rsidR="00E34E6E" w:rsidRDefault="00E34E6E">
    <w:pPr>
      <w:pStyle w:val="Header"/>
    </w:pPr>
    <w:r w:rsidRPr="00E914FB">
      <w:rPr>
        <w:noProof/>
        <w:lang w:val="en-US"/>
      </w:rPr>
      <mc:AlternateContent>
        <mc:Choice Requires="wps">
          <w:drawing>
            <wp:anchor distT="0" distB="0" distL="114300" distR="114300" simplePos="0" relativeHeight="251659264" behindDoc="0" locked="0" layoutInCell="1" allowOverlap="1" wp14:anchorId="10EE3E29" wp14:editId="1ED3542F">
              <wp:simplePos x="0" y="0"/>
              <wp:positionH relativeFrom="column">
                <wp:posOffset>-1019175</wp:posOffset>
              </wp:positionH>
              <wp:positionV relativeFrom="paragraph">
                <wp:posOffset>-449580</wp:posOffset>
              </wp:positionV>
              <wp:extent cx="7677150" cy="182880"/>
              <wp:effectExtent l="0" t="0" r="0" b="7620"/>
              <wp:wrapNone/>
              <wp:docPr id="6" name="Rectangle 5"/>
              <wp:cNvGraphicFramePr/>
              <a:graphic xmlns:a="http://schemas.openxmlformats.org/drawingml/2006/main">
                <a:graphicData uri="http://schemas.microsoft.com/office/word/2010/wordprocessingShape">
                  <wps:wsp>
                    <wps:cNvSpPr/>
                    <wps:spPr>
                      <a:xfrm>
                        <a:off x="0" y="0"/>
                        <a:ext cx="7677150" cy="182880"/>
                      </a:xfrm>
                      <a:prstGeom prst="rect">
                        <a:avLst/>
                      </a:prstGeom>
                      <a:gradFill flip="none" rotWithShape="1">
                        <a:gsLst>
                          <a:gs pos="0">
                            <a:srgbClr val="FF00FF"/>
                          </a:gs>
                          <a:gs pos="100000">
                            <a:srgbClr val="FEFE51"/>
                          </a:gs>
                          <a:gs pos="51000">
                            <a:srgbClr val="FC6297"/>
                          </a:gs>
                          <a:gs pos="74000">
                            <a:srgbClr val="FD976D"/>
                          </a:gs>
                          <a:gs pos="14000">
                            <a:srgbClr val="FB2BC6"/>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anchor>
          </w:drawing>
        </mc:Choice>
        <mc:Fallback xmlns:mv="urn:schemas-microsoft-com:mac:vml" xmlns:mo="http://schemas.microsoft.com/office/mac/office/2008/main">
          <w:pict>
            <v:rect w14:anchorId="2019C8E2" id="Rectangle 5" o:spid="_x0000_s1026" style="position:absolute;margin-left:-80.25pt;margin-top:-35.4pt;width:604.5pt;height:14.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TJVgIAAGUFAAAOAAAAZHJzL2Uyb0RvYy54bWysVNuO2yAQfa/Uf0C8N760cbJWnJU2Wfel&#10;ale7rfpMMNhIGCygufx9B/B6o61Xlar6AXOZM8M5M8zm9txLdGTGCq0qnC1SjJiiuhGqrfCP7/WH&#10;NUbWEdUQqRWr8IVZfLt9/25zGkqW607LhhkETpQtT0OFO+eGMkks7VhP7EIPTMEh16YnDpamTRpD&#10;TuC9l0mepkVy0qYZjKbMWtjdx0O8Df45Z9R949wyh2SF4W4ujCaMBz8m2w0pW0OGTtDxGuQfbtET&#10;oSDo5GpPHEG/jPjDVS+o0VZzt6C6TzTngrLAAdhk6Ss2Tx0ZWOAC4thhksn+P7f06/HBINFUuMBI&#10;kR5S9AiiEdVKhpZentNgS7B6Gh7MuLIw9VzP3PT+DyzQOUh6mSRlZ4cobK6K1SpbgvIUzrJ1vl4H&#10;zZMX9GCs+8x0j/ykwgaiByXJ8Yt1EBFMn01GgZtaSIm4FFAvCqoKI6PdT+G6oBeEiZmwgA8IiwYN&#10;kqVh25r2sJMGHQlURF2naV17lhCltdfWWeq/Gch9fb/MZiFLj5lB7Ir8ZjWLWH2aR+xvVsV+FpG9&#10;gbjL73bFFSLwGQWQQiFIaMiQpUQyyHZgQEonJPP5HhUwJGjrdZDKj0p7reNp3GHhUY2p8bURqyHM&#10;3EWyiH1kHIoK8h9zEZ4zm2QnlDLlnkWUCqw9jEOoCfgxCun7wFvA0d5D460mcP538IQIkbVyE7gX&#10;Sps5B3K6Mo/2UDZXvP30oJsLvCfj5E7HjkMU7TQ0HOpMSI+3grccKy72Hd8srtfB7Ut33P4GAAD/&#10;/wMAUEsDBBQABgAIAAAAIQD7mr/w3wAAAA0BAAAPAAAAZHJzL2Rvd25yZXYueG1sTI/BTsMwEETv&#10;SPyDtUjcWrtRW6IQp0JFvSEhmn7ANt4mEbEdxU4a+vVsT3DbnR3Nvsl3s+3ERENovdOwWioQ5Cpv&#10;WldrOJWHRQoiRHQGO+9Iww8F2BWPDzlmxl/dF03HWAsOcSFDDU2MfSZlqBqyGJa+J8e3ix8sRl6H&#10;WpoBrxxuO5kotZUWW8cfGuxp31D1fRythk0sD+VtTKvwkdwmev/Ey7hHrZ+f5rdXEJHm+GeGOz6j&#10;Q8FMZz86E0SnYbHaqg17eXpRXOJuUeuUpTNL60SBLHL5v0XxCwAA//8DAFBLAQItABQABgAIAAAA&#10;IQC2gziS/gAAAOEBAAATAAAAAAAAAAAAAAAAAAAAAABbQ29udGVudF9UeXBlc10ueG1sUEsBAi0A&#10;FAAGAAgAAAAhADj9If/WAAAAlAEAAAsAAAAAAAAAAAAAAAAALwEAAF9yZWxzLy5yZWxzUEsBAi0A&#10;FAAGAAgAAAAhAC8IZMlWAgAAZQUAAA4AAAAAAAAAAAAAAAAALgIAAGRycy9lMm9Eb2MueG1sUEsB&#10;Ai0AFAAGAAgAAAAhAPuav/DfAAAADQEAAA8AAAAAAAAAAAAAAAAAsAQAAGRycy9kb3ducmV2Lnht&#10;bFBLBQYAAAAABAAEAPMAAAC8BQAAAAA=&#10;" fillcolor="fuchsia" stroked="f">
              <v:fill color2="#fefe51" rotate="t" angle="90" colors="0 fuchsia;9175f #fb2bc6;33423f #fc6297;48497f #fd976d;1 #fefe51" focus="100%" type="gradien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A5E"/>
    <w:multiLevelType w:val="hybridMultilevel"/>
    <w:tmpl w:val="6ACA2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DF502B"/>
    <w:multiLevelType w:val="multilevel"/>
    <w:tmpl w:val="A90CA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mailMerge>
    <w:mainDocumentType w:val="formLetters"/>
    <w:linkToQuery/>
    <w:dataType w:val="textFile"/>
    <w:query w:val="SELECT * FROM `Transcripts$`"/>
    <w:activeRecord w:val="-1"/>
  </w:mailMerg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FB"/>
    <w:rsid w:val="00031C62"/>
    <w:rsid w:val="0009353F"/>
    <w:rsid w:val="000D0B32"/>
    <w:rsid w:val="001270C8"/>
    <w:rsid w:val="00170A34"/>
    <w:rsid w:val="001A076B"/>
    <w:rsid w:val="002150CD"/>
    <w:rsid w:val="002445CC"/>
    <w:rsid w:val="002E7B43"/>
    <w:rsid w:val="00334E93"/>
    <w:rsid w:val="00377671"/>
    <w:rsid w:val="003936FC"/>
    <w:rsid w:val="003C5CEE"/>
    <w:rsid w:val="003D30B5"/>
    <w:rsid w:val="00422E6E"/>
    <w:rsid w:val="004A0314"/>
    <w:rsid w:val="004C66FF"/>
    <w:rsid w:val="00533454"/>
    <w:rsid w:val="006E1D94"/>
    <w:rsid w:val="006F38AC"/>
    <w:rsid w:val="007120AE"/>
    <w:rsid w:val="008039A8"/>
    <w:rsid w:val="00827D4E"/>
    <w:rsid w:val="00884956"/>
    <w:rsid w:val="008D6648"/>
    <w:rsid w:val="008D6C03"/>
    <w:rsid w:val="00931E41"/>
    <w:rsid w:val="009A3047"/>
    <w:rsid w:val="009D0DF7"/>
    <w:rsid w:val="009F32DE"/>
    <w:rsid w:val="009F6141"/>
    <w:rsid w:val="00AE245D"/>
    <w:rsid w:val="00BB73C0"/>
    <w:rsid w:val="00C53CDD"/>
    <w:rsid w:val="00D348AA"/>
    <w:rsid w:val="00DA4AC8"/>
    <w:rsid w:val="00DD05B3"/>
    <w:rsid w:val="00E34E6E"/>
    <w:rsid w:val="00E62A2A"/>
    <w:rsid w:val="00E664BF"/>
    <w:rsid w:val="00E914FB"/>
    <w:rsid w:val="00E93E82"/>
    <w:rsid w:val="00EA040A"/>
    <w:rsid w:val="00EC2E32"/>
    <w:rsid w:val="00F1785D"/>
    <w:rsid w:val="00F7286F"/>
    <w:rsid w:val="00FC7F01"/>
    <w:rsid w:val="00FD5C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EE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4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4FB"/>
  </w:style>
  <w:style w:type="paragraph" w:styleId="Footer">
    <w:name w:val="footer"/>
    <w:basedOn w:val="Normal"/>
    <w:link w:val="FooterChar"/>
    <w:uiPriority w:val="99"/>
    <w:unhideWhenUsed/>
    <w:rsid w:val="00E914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4FB"/>
  </w:style>
  <w:style w:type="paragraph" w:styleId="BalloonText">
    <w:name w:val="Balloon Text"/>
    <w:basedOn w:val="Normal"/>
    <w:link w:val="BalloonTextChar"/>
    <w:uiPriority w:val="99"/>
    <w:semiHidden/>
    <w:unhideWhenUsed/>
    <w:rsid w:val="00E91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FB"/>
    <w:rPr>
      <w:rFonts w:ascii="Tahoma" w:hAnsi="Tahoma" w:cs="Tahoma"/>
      <w:sz w:val="16"/>
      <w:szCs w:val="16"/>
    </w:rPr>
  </w:style>
  <w:style w:type="paragraph" w:styleId="NormalWeb">
    <w:name w:val="Normal (Web)"/>
    <w:basedOn w:val="Normal"/>
    <w:uiPriority w:val="99"/>
    <w:unhideWhenUsed/>
    <w:rsid w:val="001A076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533454"/>
    <w:pPr>
      <w:ind w:left="720"/>
      <w:contextualSpacing/>
    </w:pPr>
  </w:style>
  <w:style w:type="character" w:styleId="Hyperlink">
    <w:name w:val="Hyperlink"/>
    <w:basedOn w:val="DefaultParagraphFont"/>
    <w:uiPriority w:val="99"/>
    <w:unhideWhenUsed/>
    <w:rsid w:val="004C66FF"/>
    <w:rPr>
      <w:color w:val="0000FF" w:themeColor="hyperlink"/>
      <w:u w:val="single"/>
    </w:rPr>
  </w:style>
  <w:style w:type="character" w:styleId="UnresolvedMention">
    <w:name w:val="Unresolved Mention"/>
    <w:basedOn w:val="DefaultParagraphFont"/>
    <w:uiPriority w:val="99"/>
    <w:rsid w:val="004C66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51777">
      <w:bodyDiv w:val="1"/>
      <w:marLeft w:val="0"/>
      <w:marRight w:val="0"/>
      <w:marTop w:val="0"/>
      <w:marBottom w:val="0"/>
      <w:divBdr>
        <w:top w:val="none" w:sz="0" w:space="0" w:color="auto"/>
        <w:left w:val="none" w:sz="0" w:space="0" w:color="auto"/>
        <w:bottom w:val="none" w:sz="0" w:space="0" w:color="auto"/>
        <w:right w:val="none" w:sz="0" w:space="0" w:color="auto"/>
      </w:divBdr>
    </w:div>
    <w:div w:id="1173491413">
      <w:bodyDiv w:val="1"/>
      <w:marLeft w:val="0"/>
      <w:marRight w:val="0"/>
      <w:marTop w:val="0"/>
      <w:marBottom w:val="0"/>
      <w:divBdr>
        <w:top w:val="none" w:sz="0" w:space="0" w:color="auto"/>
        <w:left w:val="none" w:sz="0" w:space="0" w:color="auto"/>
        <w:bottom w:val="none" w:sz="0" w:space="0" w:color="auto"/>
        <w:right w:val="none" w:sz="0" w:space="0" w:color="auto"/>
      </w:divBdr>
    </w:div>
    <w:div w:id="16805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k.sagepub.com/en-gb/eur/globalization-and-politics/book228474" TargetMode="External"/><Relationship Id="rId4" Type="http://schemas.openxmlformats.org/officeDocument/2006/relationships/settings" Target="settings.xml"/><Relationship Id="rId9" Type="http://schemas.openxmlformats.org/officeDocument/2006/relationships/hyperlink" Target="https://www.britannica.com/topic/cosmopolitanism-philosoph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A5DBC-65C5-1847-A9C5-4A666870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2014-01-13T15:29:00Z</cp:lastPrinted>
  <dcterms:created xsi:type="dcterms:W3CDTF">2019-03-05T16:44:00Z</dcterms:created>
  <dcterms:modified xsi:type="dcterms:W3CDTF">2019-03-05T16:44:00Z</dcterms:modified>
</cp:coreProperties>
</file>