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A212" w14:textId="167DCC02" w:rsidR="00B42C8B" w:rsidRPr="00E9352F" w:rsidRDefault="00B42C8B" w:rsidP="00E9352F">
      <w:pPr>
        <w:jc w:val="both"/>
        <w:rPr>
          <w:rFonts w:ascii="Arial" w:hAnsi="Arial" w:cs="Arial"/>
        </w:rPr>
      </w:pPr>
      <w:r w:rsidRPr="00E9352F">
        <w:rPr>
          <w:rFonts w:ascii="Arial" w:hAnsi="Arial" w:cs="Arial"/>
          <w:b/>
          <w:u w:val="single"/>
        </w:rPr>
        <w:t xml:space="preserve">Info for readme file </w:t>
      </w:r>
      <w:r w:rsidR="00B072D2">
        <w:rPr>
          <w:rFonts w:ascii="Arial" w:hAnsi="Arial" w:cs="Arial"/>
          <w:b/>
          <w:u w:val="single"/>
        </w:rPr>
        <w:t xml:space="preserve">datasets </w:t>
      </w:r>
      <w:r w:rsidR="00834966">
        <w:rPr>
          <w:rFonts w:ascii="Arial" w:hAnsi="Arial" w:cs="Arial"/>
          <w:b/>
          <w:u w:val="single"/>
        </w:rPr>
        <w:t xml:space="preserve">for </w:t>
      </w:r>
      <w:r w:rsidR="00D50B91">
        <w:rPr>
          <w:rFonts w:ascii="Arial" w:hAnsi="Arial" w:cs="Arial"/>
          <w:b/>
          <w:u w:val="single"/>
        </w:rPr>
        <w:t>molecular study</w:t>
      </w:r>
      <w:r w:rsidRPr="00E9352F">
        <w:rPr>
          <w:rFonts w:ascii="Arial" w:hAnsi="Arial" w:cs="Arial"/>
          <w:b/>
          <w:u w:val="single"/>
        </w:rPr>
        <w:t>:</w:t>
      </w:r>
    </w:p>
    <w:p w14:paraId="5E385884" w14:textId="77777777" w:rsidR="00B42C8B" w:rsidRPr="00E9352F" w:rsidRDefault="00B42C8B" w:rsidP="00E9352F">
      <w:pPr>
        <w:jc w:val="both"/>
        <w:rPr>
          <w:rFonts w:ascii="Arial" w:hAnsi="Arial" w:cs="Arial"/>
        </w:rPr>
      </w:pPr>
    </w:p>
    <w:p w14:paraId="32A8A0D6" w14:textId="76F96B85" w:rsidR="0031644C" w:rsidRPr="00E9352F" w:rsidRDefault="00B42C8B" w:rsidP="00E9352F">
      <w:pPr>
        <w:jc w:val="both"/>
        <w:rPr>
          <w:rFonts w:ascii="Arial" w:hAnsi="Arial" w:cs="Arial"/>
        </w:rPr>
      </w:pPr>
      <w:r w:rsidRPr="00E9352F">
        <w:rPr>
          <w:rFonts w:ascii="Arial" w:hAnsi="Arial" w:cs="Arial"/>
        </w:rPr>
        <w:t xml:space="preserve">As described </w:t>
      </w:r>
      <w:r w:rsidRPr="00BF752F">
        <w:rPr>
          <w:rFonts w:ascii="Arial" w:hAnsi="Arial" w:cs="Arial"/>
        </w:rPr>
        <w:t xml:space="preserve">in </w:t>
      </w:r>
      <w:r w:rsidR="00D50B91">
        <w:rPr>
          <w:rFonts w:ascii="Arial" w:hAnsi="Arial" w:cs="Arial"/>
        </w:rPr>
        <w:t>the corresponding manuscript</w:t>
      </w:r>
      <w:r w:rsidRPr="00BF752F">
        <w:rPr>
          <w:rFonts w:ascii="Arial" w:hAnsi="Arial" w:cs="Arial"/>
        </w:rPr>
        <w:t>, th</w:t>
      </w:r>
      <w:r w:rsidR="00D50B91">
        <w:rPr>
          <w:rFonts w:ascii="Arial" w:hAnsi="Arial" w:cs="Arial"/>
        </w:rPr>
        <w:t xml:space="preserve">is study sample derives </w:t>
      </w:r>
      <w:r w:rsidR="00D36A41" w:rsidRPr="00E9352F">
        <w:rPr>
          <w:rFonts w:ascii="Arial" w:hAnsi="Arial" w:cs="Arial"/>
        </w:rPr>
        <w:t xml:space="preserve">from </w:t>
      </w:r>
      <w:r w:rsidR="00D50B91">
        <w:rPr>
          <w:rFonts w:ascii="Arial" w:hAnsi="Arial" w:cs="Arial"/>
        </w:rPr>
        <w:t xml:space="preserve">a </w:t>
      </w:r>
      <w:r w:rsidR="00D36A41" w:rsidRPr="00E9352F">
        <w:rPr>
          <w:rFonts w:ascii="Arial" w:hAnsi="Arial" w:cs="Arial"/>
        </w:rPr>
        <w:t>larger study that employed a cross-sectional</w:t>
      </w:r>
      <w:r w:rsidRPr="00E9352F">
        <w:rPr>
          <w:rFonts w:ascii="Arial" w:hAnsi="Arial" w:cs="Arial"/>
        </w:rPr>
        <w:t xml:space="preserve"> design </w:t>
      </w:r>
      <w:r w:rsidR="00D50B91">
        <w:rPr>
          <w:rFonts w:ascii="Arial" w:hAnsi="Arial" w:cs="Arial"/>
        </w:rPr>
        <w:t xml:space="preserve">which recruited one-hundred fifteen participants who </w:t>
      </w:r>
      <w:r w:rsidR="00D36A41" w:rsidRPr="00E9352F">
        <w:rPr>
          <w:rFonts w:ascii="Arial" w:hAnsi="Arial" w:cs="Arial"/>
        </w:rPr>
        <w:t>completed three main Trial days (A, B and C) and habitual lifestyle assessment (physical activity levels and dietary / macronutrient intake). Trial A and Trial B followed matched protocols separated by 7 – 28 days that involved the assessment of anthropometrics, resting metabolic rate, a fasting blood sample and an incremental graded exercise test (a FAT</w:t>
      </w:r>
      <w:r w:rsidR="00D36A41" w:rsidRPr="00E9352F">
        <w:rPr>
          <w:rFonts w:ascii="Arial" w:hAnsi="Arial" w:cs="Arial"/>
          <w:vertAlign w:val="subscript"/>
        </w:rPr>
        <w:t xml:space="preserve">MAX </w:t>
      </w:r>
      <w:r w:rsidR="00D36A41" w:rsidRPr="00E9352F">
        <w:rPr>
          <w:rFonts w:ascii="Arial" w:hAnsi="Arial" w:cs="Arial"/>
        </w:rPr>
        <w:t>test). Trial C was organised 2 – 7 days after Trial B and involved body composition analysis</w:t>
      </w:r>
      <w:r w:rsidR="0031644C" w:rsidRPr="00E9352F">
        <w:rPr>
          <w:rFonts w:ascii="Arial" w:hAnsi="Arial" w:cs="Arial"/>
        </w:rPr>
        <w:t xml:space="preserve"> (a whole-body dual energy x-ray absorptiometry (DEXA) scan) </w:t>
      </w:r>
      <w:r w:rsidR="00D36A41" w:rsidRPr="00E9352F">
        <w:rPr>
          <w:rFonts w:ascii="Arial" w:hAnsi="Arial" w:cs="Arial"/>
        </w:rPr>
        <w:t>and opt-in skeletal muscle and / or adipose tissue biopsies</w:t>
      </w:r>
      <w:r w:rsidR="0031644C" w:rsidRPr="00E9352F">
        <w:rPr>
          <w:rFonts w:ascii="Arial" w:hAnsi="Arial" w:cs="Arial"/>
        </w:rPr>
        <w:t xml:space="preserve">. All trials were completed in an overnight fasted-state Additionally, in the seven days prior to Trial A, participants recorded a self-weighed diet diary and wore a physical activity monitor for the assessment of habitual energy intake, macronutrient intakes and physical activity levels. </w:t>
      </w:r>
    </w:p>
    <w:p w14:paraId="0A2F0644" w14:textId="77777777" w:rsidR="0031644C" w:rsidRPr="00E9352F" w:rsidRDefault="0031644C" w:rsidP="00E9352F">
      <w:pPr>
        <w:jc w:val="both"/>
        <w:rPr>
          <w:rFonts w:ascii="Arial" w:hAnsi="Arial" w:cs="Arial"/>
        </w:rPr>
      </w:pPr>
    </w:p>
    <w:p w14:paraId="49100DFC" w14:textId="77777777" w:rsidR="00B42C8B" w:rsidRPr="00E9352F" w:rsidRDefault="00BD7C50" w:rsidP="00E9352F">
      <w:pPr>
        <w:jc w:val="both"/>
        <w:rPr>
          <w:rFonts w:ascii="Arial" w:hAnsi="Arial" w:cs="Arial"/>
          <w:b/>
        </w:rPr>
      </w:pPr>
      <w:r w:rsidRPr="00E9352F">
        <w:rPr>
          <w:rFonts w:ascii="Arial" w:hAnsi="Arial" w:cs="Arial"/>
          <w:b/>
        </w:rPr>
        <w:t>Body mass</w:t>
      </w:r>
    </w:p>
    <w:p w14:paraId="07F547A1" w14:textId="77777777" w:rsidR="00B42C8B" w:rsidRPr="00E9352F" w:rsidRDefault="00B42C8B" w:rsidP="00E9352F">
      <w:pPr>
        <w:jc w:val="both"/>
        <w:rPr>
          <w:rFonts w:ascii="Arial" w:hAnsi="Arial" w:cs="Arial"/>
        </w:rPr>
      </w:pPr>
      <w:r w:rsidRPr="00E9352F">
        <w:rPr>
          <w:rFonts w:ascii="Arial" w:hAnsi="Arial" w:cs="Arial"/>
        </w:rPr>
        <w:t xml:space="preserve">The weight of each participant was measured to the </w:t>
      </w:r>
      <w:r w:rsidRPr="00E9352F">
        <w:rPr>
          <w:rFonts w:ascii="Arial" w:hAnsi="Arial" w:cs="Arial"/>
          <w:color w:val="000000" w:themeColor="text1"/>
        </w:rPr>
        <w:t xml:space="preserve">nearest 100 g </w:t>
      </w:r>
      <w:r w:rsidRPr="00E9352F">
        <w:rPr>
          <w:rFonts w:ascii="Arial" w:hAnsi="Arial" w:cs="Arial"/>
        </w:rPr>
        <w:t>using electronic scales (</w:t>
      </w:r>
      <w:r w:rsidRPr="00E9352F">
        <w:rPr>
          <w:rFonts w:ascii="Arial" w:hAnsi="Arial" w:cs="Arial"/>
          <w:color w:val="000000" w:themeColor="text1"/>
        </w:rPr>
        <w:t xml:space="preserve">TANITA Inner Scan Body Composition Monitor-BC453, Tokyo) </w:t>
      </w:r>
      <w:r w:rsidRPr="00E9352F">
        <w:rPr>
          <w:rFonts w:ascii="Arial" w:hAnsi="Arial" w:cs="Arial"/>
        </w:rPr>
        <w:t>whilst they wore minimal clothing</w:t>
      </w:r>
      <w:r w:rsidR="00BD7C50" w:rsidRPr="00E9352F">
        <w:rPr>
          <w:rFonts w:ascii="Arial" w:hAnsi="Arial" w:cs="Arial"/>
        </w:rPr>
        <w:t xml:space="preserve">. Additionally, an estimate of body fat percentage was also obtained when participants were weighed. </w:t>
      </w:r>
    </w:p>
    <w:p w14:paraId="67C99F1D" w14:textId="77777777" w:rsidR="00B42C8B" w:rsidRPr="00E9352F" w:rsidRDefault="00B42C8B" w:rsidP="00E9352F">
      <w:pPr>
        <w:jc w:val="both"/>
        <w:rPr>
          <w:rFonts w:ascii="Arial" w:hAnsi="Arial" w:cs="Arial"/>
        </w:rPr>
      </w:pPr>
    </w:p>
    <w:p w14:paraId="3CE9FB25" w14:textId="77777777" w:rsidR="00B42C8B" w:rsidRPr="00E9352F" w:rsidRDefault="00464980" w:rsidP="00E9352F">
      <w:pPr>
        <w:jc w:val="both"/>
        <w:rPr>
          <w:rFonts w:ascii="Arial" w:hAnsi="Arial" w:cs="Arial"/>
          <w:b/>
        </w:rPr>
      </w:pPr>
      <w:r w:rsidRPr="00E9352F">
        <w:rPr>
          <w:rFonts w:ascii="Arial" w:hAnsi="Arial" w:cs="Arial"/>
          <w:b/>
        </w:rPr>
        <w:t>Body Stature</w:t>
      </w:r>
    </w:p>
    <w:p w14:paraId="77548B96" w14:textId="77777777" w:rsidR="00B42C8B" w:rsidRDefault="001B24E1" w:rsidP="00E9352F">
      <w:pPr>
        <w:jc w:val="both"/>
        <w:rPr>
          <w:rFonts w:ascii="Arial" w:hAnsi="Arial" w:cs="Arial"/>
        </w:rPr>
      </w:pPr>
      <w:r w:rsidRPr="001B24E1">
        <w:rPr>
          <w:rFonts w:ascii="Arial" w:hAnsi="Arial" w:cs="Arial"/>
        </w:rPr>
        <w:t>Body stature was measured to the nearest 0.1 cm using a wall mounted/attached stadiometer (</w:t>
      </w:r>
      <w:proofErr w:type="spellStart"/>
      <w:r w:rsidRPr="001B24E1">
        <w:rPr>
          <w:rFonts w:ascii="Arial" w:hAnsi="Arial" w:cs="Arial"/>
        </w:rPr>
        <w:t>Holtain</w:t>
      </w:r>
      <w:proofErr w:type="spellEnd"/>
      <w:r w:rsidRPr="001B24E1">
        <w:rPr>
          <w:rFonts w:ascii="Arial" w:hAnsi="Arial" w:cs="Arial"/>
        </w:rPr>
        <w:t xml:space="preserve"> Ltd, UK) with participants head positioned in the Frankfort plane and after inhalation of a deep breath.</w:t>
      </w:r>
    </w:p>
    <w:p w14:paraId="017BEED6" w14:textId="77777777" w:rsidR="001B24E1" w:rsidRPr="00E9352F" w:rsidRDefault="001B24E1" w:rsidP="00E9352F">
      <w:pPr>
        <w:jc w:val="both"/>
        <w:rPr>
          <w:rFonts w:ascii="Arial" w:hAnsi="Arial" w:cs="Arial"/>
          <w:color w:val="000000" w:themeColor="text1"/>
        </w:rPr>
      </w:pPr>
    </w:p>
    <w:p w14:paraId="0A86263E" w14:textId="77777777" w:rsidR="00B42C8B" w:rsidRPr="00E9352F" w:rsidRDefault="00BD7C50" w:rsidP="00E9352F">
      <w:pPr>
        <w:jc w:val="both"/>
        <w:rPr>
          <w:rFonts w:ascii="Arial" w:hAnsi="Arial" w:cs="Arial"/>
          <w:b/>
          <w:color w:val="000000" w:themeColor="text1"/>
        </w:rPr>
      </w:pPr>
      <w:r w:rsidRPr="00E9352F">
        <w:rPr>
          <w:rFonts w:ascii="Arial" w:hAnsi="Arial" w:cs="Arial"/>
          <w:b/>
          <w:color w:val="000000" w:themeColor="text1"/>
        </w:rPr>
        <w:t>Body mass index</w:t>
      </w:r>
    </w:p>
    <w:p w14:paraId="5775C93A" w14:textId="77777777" w:rsidR="00B42C8B" w:rsidRPr="00E9352F" w:rsidRDefault="00B42C8B" w:rsidP="00E9352F">
      <w:pPr>
        <w:jc w:val="both"/>
        <w:rPr>
          <w:rFonts w:ascii="Arial" w:hAnsi="Arial" w:cs="Arial"/>
          <w:color w:val="000000" w:themeColor="text1"/>
        </w:rPr>
      </w:pPr>
      <w:r w:rsidRPr="00E9352F">
        <w:rPr>
          <w:rFonts w:ascii="Arial" w:hAnsi="Arial" w:cs="Arial"/>
          <w:color w:val="000000" w:themeColor="text1"/>
        </w:rPr>
        <w:t>Body mass index was body mass (kilograms) divided by height (m) squared.</w:t>
      </w:r>
    </w:p>
    <w:p w14:paraId="5CB59DF5" w14:textId="77777777" w:rsidR="00464980" w:rsidRPr="00E9352F" w:rsidRDefault="00464980" w:rsidP="00E9352F">
      <w:pPr>
        <w:jc w:val="both"/>
        <w:rPr>
          <w:rFonts w:ascii="Arial" w:hAnsi="Arial" w:cs="Arial"/>
          <w:color w:val="000000" w:themeColor="text1"/>
        </w:rPr>
      </w:pPr>
    </w:p>
    <w:p w14:paraId="3E79A71B" w14:textId="77777777" w:rsidR="00464980" w:rsidRPr="00E9352F" w:rsidRDefault="00464980" w:rsidP="00E9352F">
      <w:pPr>
        <w:jc w:val="both"/>
        <w:rPr>
          <w:rFonts w:ascii="Arial" w:hAnsi="Arial" w:cs="Arial"/>
          <w:b/>
          <w:color w:val="000000" w:themeColor="text1"/>
        </w:rPr>
      </w:pPr>
      <w:r w:rsidRPr="00E9352F">
        <w:rPr>
          <w:rFonts w:ascii="Arial" w:hAnsi="Arial" w:cs="Arial"/>
          <w:b/>
          <w:color w:val="000000" w:themeColor="text1"/>
        </w:rPr>
        <w:t>Fat mass index</w:t>
      </w:r>
    </w:p>
    <w:p w14:paraId="5C0C8E40" w14:textId="77777777" w:rsidR="00464980" w:rsidRPr="00E9352F" w:rsidRDefault="00464980" w:rsidP="00E9352F">
      <w:pPr>
        <w:jc w:val="both"/>
        <w:rPr>
          <w:rFonts w:ascii="Arial" w:hAnsi="Arial" w:cs="Arial"/>
          <w:color w:val="000000" w:themeColor="text1"/>
        </w:rPr>
      </w:pPr>
      <w:r w:rsidRPr="00E9352F">
        <w:rPr>
          <w:rFonts w:ascii="Arial" w:hAnsi="Arial" w:cs="Arial"/>
          <w:color w:val="000000" w:themeColor="text1"/>
        </w:rPr>
        <w:t xml:space="preserve">Fat mass index was fat mass (kilograms; determined by DEXA) divided by height (m) squared. Participants were classified into four categories (fat deficient, healthy, excess adiposity and obese) as identified by (Kelly, Wilson, &amp; </w:t>
      </w:r>
      <w:proofErr w:type="spellStart"/>
      <w:r w:rsidRPr="00E9352F">
        <w:rPr>
          <w:rFonts w:ascii="Arial" w:hAnsi="Arial" w:cs="Arial"/>
          <w:color w:val="000000" w:themeColor="text1"/>
        </w:rPr>
        <w:t>Heymsfield</w:t>
      </w:r>
      <w:proofErr w:type="spellEnd"/>
      <w:r w:rsidRPr="00E9352F">
        <w:rPr>
          <w:rFonts w:ascii="Arial" w:hAnsi="Arial" w:cs="Arial"/>
          <w:color w:val="000000" w:themeColor="text1"/>
        </w:rPr>
        <w:t>, 2009).</w:t>
      </w:r>
    </w:p>
    <w:p w14:paraId="68BA061D" w14:textId="77777777" w:rsidR="009D2A15" w:rsidRPr="00E9352F" w:rsidRDefault="009D2A15" w:rsidP="00E9352F">
      <w:pPr>
        <w:jc w:val="both"/>
        <w:rPr>
          <w:rFonts w:ascii="Arial" w:hAnsi="Arial" w:cs="Arial"/>
          <w:color w:val="000000" w:themeColor="text1"/>
        </w:rPr>
      </w:pPr>
    </w:p>
    <w:p w14:paraId="438970B5" w14:textId="77777777" w:rsidR="009D2A15" w:rsidRPr="00E9352F" w:rsidRDefault="009D2A15" w:rsidP="00E9352F">
      <w:pPr>
        <w:jc w:val="both"/>
        <w:rPr>
          <w:rFonts w:ascii="Arial" w:hAnsi="Arial" w:cs="Arial"/>
          <w:b/>
          <w:color w:val="000000" w:themeColor="text1"/>
        </w:rPr>
      </w:pPr>
      <w:r w:rsidRPr="00E9352F">
        <w:rPr>
          <w:rFonts w:ascii="Arial" w:hAnsi="Arial" w:cs="Arial"/>
          <w:b/>
          <w:color w:val="000000" w:themeColor="text1"/>
        </w:rPr>
        <w:t>Waist and hip circumference</w:t>
      </w:r>
    </w:p>
    <w:p w14:paraId="0AB5B85B" w14:textId="77777777" w:rsidR="009D2A15" w:rsidRDefault="009D2A15" w:rsidP="00E9352F">
      <w:pPr>
        <w:jc w:val="both"/>
        <w:rPr>
          <w:rFonts w:ascii="Arial" w:hAnsi="Arial" w:cs="Arial"/>
          <w:color w:val="000000" w:themeColor="text1"/>
        </w:rPr>
      </w:pPr>
      <w:r w:rsidRPr="00E9352F">
        <w:rPr>
          <w:rFonts w:ascii="Arial" w:hAnsi="Arial" w:cs="Arial"/>
          <w:color w:val="000000" w:themeColor="text1"/>
        </w:rPr>
        <w:t>Waist and hip circumference were measured to the nearest 0.1 cm using a non-elastic measuring tape (SECA 201, Hamburg, Germany</w:t>
      </w:r>
      <w:r w:rsidR="00271864">
        <w:rPr>
          <w:rFonts w:ascii="Arial" w:hAnsi="Arial" w:cs="Arial"/>
          <w:color w:val="000000" w:themeColor="text1"/>
        </w:rPr>
        <w:t>).</w:t>
      </w:r>
      <w:r w:rsidR="00271864" w:rsidRPr="00271864">
        <w:t xml:space="preserve"> </w:t>
      </w:r>
      <w:r w:rsidR="00271864" w:rsidRPr="00271864">
        <w:rPr>
          <w:rFonts w:ascii="Arial" w:hAnsi="Arial" w:cs="Arial"/>
          <w:color w:val="000000" w:themeColor="text1"/>
        </w:rPr>
        <w:t>Waist circumference was measured at the narrowest point between the 10th Rib and top of the iliac crest at the end of a ‘normal’ expiration. Hip circumference was measured at the point of greatest posterior protuberance of the buttocks. Waist to hip ratio was calculated by dividing waist circumference by hip circumference.</w:t>
      </w:r>
    </w:p>
    <w:p w14:paraId="786E4469" w14:textId="77777777" w:rsidR="001B24E1" w:rsidRDefault="001B24E1" w:rsidP="00E9352F">
      <w:pPr>
        <w:jc w:val="both"/>
        <w:rPr>
          <w:rFonts w:ascii="Arial" w:hAnsi="Arial" w:cs="Arial"/>
          <w:color w:val="000000" w:themeColor="text1"/>
        </w:rPr>
      </w:pPr>
    </w:p>
    <w:p w14:paraId="394369AE" w14:textId="77777777" w:rsidR="001B24E1" w:rsidRDefault="001B24E1" w:rsidP="001B24E1">
      <w:pPr>
        <w:jc w:val="both"/>
        <w:rPr>
          <w:rFonts w:ascii="Arial" w:hAnsi="Arial" w:cs="Arial"/>
          <w:b/>
        </w:rPr>
      </w:pPr>
      <w:r w:rsidRPr="001B24E1">
        <w:rPr>
          <w:rFonts w:ascii="Arial" w:hAnsi="Arial" w:cs="Arial"/>
          <w:b/>
        </w:rPr>
        <w:t>DEXA scan</w:t>
      </w:r>
    </w:p>
    <w:p w14:paraId="6A3A03A9" w14:textId="77777777" w:rsidR="001B24E1" w:rsidRPr="00E9352F" w:rsidRDefault="001B24E1" w:rsidP="001B24E1">
      <w:pPr>
        <w:jc w:val="both"/>
        <w:rPr>
          <w:rFonts w:ascii="Arial" w:hAnsi="Arial" w:cs="Arial"/>
        </w:rPr>
      </w:pPr>
      <w:r>
        <w:rPr>
          <w:rFonts w:ascii="Arial" w:hAnsi="Arial" w:cs="Arial"/>
        </w:rPr>
        <w:t xml:space="preserve">A </w:t>
      </w:r>
      <w:r w:rsidRPr="001B24E1">
        <w:rPr>
          <w:rFonts w:ascii="Arial" w:hAnsi="Arial" w:cs="Arial"/>
        </w:rPr>
        <w:t xml:space="preserve">dual energy x-ray absorptiometry (DEXA) scan </w:t>
      </w:r>
      <w:r>
        <w:rPr>
          <w:rFonts w:ascii="Arial" w:hAnsi="Arial" w:cs="Arial"/>
        </w:rPr>
        <w:t xml:space="preserve">was performed to quantify fat mass and fat free mass (FFM). </w:t>
      </w:r>
      <w:r w:rsidRPr="001B24E1">
        <w:rPr>
          <w:rFonts w:ascii="Arial" w:hAnsi="Arial" w:cs="Arial"/>
        </w:rPr>
        <w:t xml:space="preserve">Participants were scanned in light clothing and removed all metal (where possible). Participants were positioned centrally on the scanning bed; in a supine position on their back; with legs apart and feet </w:t>
      </w:r>
      <w:r w:rsidRPr="001B24E1">
        <w:rPr>
          <w:rFonts w:ascii="Arial" w:hAnsi="Arial" w:cs="Arial"/>
        </w:rPr>
        <w:lastRenderedPageBreak/>
        <w:t>turned inwards; and arms as wide as possible with hands placed in a mid-prone position such that the maximal gap possible was achieved between the arms and trunk.-AB / LB determination</w:t>
      </w:r>
      <w:r>
        <w:rPr>
          <w:rFonts w:ascii="Arial" w:hAnsi="Arial" w:cs="Arial"/>
        </w:rPr>
        <w:t>. The DEXA scan was also used to assess body fat distribution.</w:t>
      </w:r>
      <w:r w:rsidRPr="001B24E1">
        <w:t xml:space="preserve"> </w:t>
      </w:r>
      <w:r w:rsidRPr="001B24E1">
        <w:rPr>
          <w:rFonts w:ascii="Arial" w:hAnsi="Arial" w:cs="Arial"/>
        </w:rPr>
        <w:t xml:space="preserve">Abdominal (or Android) body fat mass (g), which includes both visceral and subcutaneous fat, was determined </w:t>
      </w:r>
      <w:r>
        <w:rPr>
          <w:rFonts w:ascii="Arial" w:hAnsi="Arial" w:cs="Arial"/>
        </w:rPr>
        <w:t>by</w:t>
      </w:r>
      <w:r w:rsidRPr="001B24E1">
        <w:rPr>
          <w:rFonts w:ascii="Arial" w:hAnsi="Arial" w:cs="Arial"/>
        </w:rPr>
        <w:t xml:space="preserve"> manual placement of three horizontal cut lines: a) an upper limit (neck cut line) set below the inferior edge of the chin (including all soft tissue of shoulders, approximately going through C4/C5 vertebral space); 2) a middle limit set going through T12/L1 vertebral space; and c) a lower limit (pelvic cut line) set going through L1/L2 vertebral space. Abdominal body fat mass was then automatically determined by the Hologic Discovery W QDR APEX Software (Version 4.2 for Microsoft Windows XP) as 20% of the inferior distance between the neck cut line and pelvic (iliac crest) cut line (Stults-</w:t>
      </w:r>
      <w:proofErr w:type="spellStart"/>
      <w:r w:rsidRPr="001B24E1">
        <w:rPr>
          <w:rFonts w:ascii="Arial" w:hAnsi="Arial" w:cs="Arial"/>
        </w:rPr>
        <w:t>Kolehmainen</w:t>
      </w:r>
      <w:proofErr w:type="spellEnd"/>
      <w:r w:rsidRPr="001B24E1">
        <w:rPr>
          <w:rFonts w:ascii="Arial" w:hAnsi="Arial" w:cs="Arial"/>
        </w:rPr>
        <w:t xml:space="preserve"> et al., 2013 ). Lower (or Gynoid) body fat mass (g), which is comprised of subcutaneous fat, was automatically determined by the Hologic Discovery W QDR APEX Software (Version 4.2 for Micros</w:t>
      </w:r>
      <w:r w:rsidR="007E6D74">
        <w:rPr>
          <w:rFonts w:ascii="Arial" w:hAnsi="Arial" w:cs="Arial"/>
        </w:rPr>
        <w:t>o</w:t>
      </w:r>
      <w:r w:rsidRPr="001B24E1">
        <w:rPr>
          <w:rFonts w:ascii="Arial" w:hAnsi="Arial" w:cs="Arial"/>
        </w:rPr>
        <w:t>ft Windows XP) as 2.0 times the height of the Abdominal region, with the upper boundary set below the pelvic horizontal cut line at a distance of 1.5 times the abdominal region height (Stults-</w:t>
      </w:r>
      <w:proofErr w:type="spellStart"/>
      <w:r w:rsidRPr="001B24E1">
        <w:rPr>
          <w:rFonts w:ascii="Arial" w:hAnsi="Arial" w:cs="Arial"/>
        </w:rPr>
        <w:t>Kolehmainen</w:t>
      </w:r>
      <w:proofErr w:type="spellEnd"/>
      <w:r w:rsidRPr="001B24E1">
        <w:rPr>
          <w:rFonts w:ascii="Arial" w:hAnsi="Arial" w:cs="Arial"/>
        </w:rPr>
        <w:t xml:space="preserve"> et al., 2013).</w:t>
      </w:r>
    </w:p>
    <w:p w14:paraId="4EAB6739" w14:textId="77777777" w:rsidR="00464980" w:rsidRPr="00E9352F" w:rsidRDefault="00464980" w:rsidP="00E9352F">
      <w:pPr>
        <w:jc w:val="both"/>
        <w:rPr>
          <w:rFonts w:ascii="Arial" w:hAnsi="Arial" w:cs="Arial"/>
          <w:color w:val="000000" w:themeColor="text1"/>
        </w:rPr>
      </w:pPr>
    </w:p>
    <w:p w14:paraId="20A3E713" w14:textId="77777777" w:rsidR="00B42C8B" w:rsidRPr="00E9352F" w:rsidRDefault="00BD7C50" w:rsidP="00E9352F">
      <w:pPr>
        <w:tabs>
          <w:tab w:val="left" w:pos="3119"/>
        </w:tabs>
        <w:jc w:val="both"/>
        <w:rPr>
          <w:rFonts w:ascii="Arial" w:hAnsi="Arial" w:cs="Arial"/>
          <w:b/>
          <w:color w:val="000000" w:themeColor="text1"/>
        </w:rPr>
      </w:pPr>
      <w:r w:rsidRPr="00E9352F">
        <w:rPr>
          <w:rFonts w:ascii="Arial" w:hAnsi="Arial" w:cs="Arial"/>
          <w:b/>
          <w:color w:val="000000" w:themeColor="text1"/>
        </w:rPr>
        <w:t>Incremental graded exercise</w:t>
      </w:r>
      <w:r w:rsidR="00464980" w:rsidRPr="00E9352F">
        <w:rPr>
          <w:rFonts w:ascii="Arial" w:hAnsi="Arial" w:cs="Arial"/>
          <w:b/>
          <w:color w:val="000000" w:themeColor="text1"/>
        </w:rPr>
        <w:t xml:space="preserve"> (FAT</w:t>
      </w:r>
      <w:r w:rsidR="00464980" w:rsidRPr="00E9352F">
        <w:rPr>
          <w:rFonts w:ascii="Arial" w:hAnsi="Arial" w:cs="Arial"/>
          <w:b/>
          <w:color w:val="000000" w:themeColor="text1"/>
          <w:vertAlign w:val="subscript"/>
        </w:rPr>
        <w:t>MAX</w:t>
      </w:r>
      <w:r w:rsidR="00464980" w:rsidRPr="00E9352F">
        <w:rPr>
          <w:rFonts w:ascii="Arial" w:hAnsi="Arial" w:cs="Arial"/>
          <w:b/>
          <w:color w:val="000000" w:themeColor="text1"/>
        </w:rPr>
        <w:t xml:space="preserve">) </w:t>
      </w:r>
      <w:r w:rsidRPr="00E9352F">
        <w:rPr>
          <w:rFonts w:ascii="Arial" w:hAnsi="Arial" w:cs="Arial"/>
          <w:b/>
          <w:color w:val="000000" w:themeColor="text1"/>
        </w:rPr>
        <w:t xml:space="preserve">test </w:t>
      </w:r>
    </w:p>
    <w:p w14:paraId="4AE496EC" w14:textId="77777777" w:rsidR="00EE1877"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Participants completed a</w:t>
      </w:r>
      <w:r w:rsidR="00BD7C50" w:rsidRPr="00E9352F">
        <w:rPr>
          <w:rFonts w:ascii="Arial" w:hAnsi="Arial" w:cs="Arial"/>
          <w:lang w:eastAsia="en-GB"/>
        </w:rPr>
        <w:t>n incremental graded exercise test (GE) to volitional exhaustion on a mechanically braked cycle ergometer (</w:t>
      </w:r>
      <w:proofErr w:type="spellStart"/>
      <w:r w:rsidR="00BD7C50" w:rsidRPr="00E9352F">
        <w:rPr>
          <w:rFonts w:ascii="Arial" w:hAnsi="Arial" w:cs="Arial"/>
          <w:lang w:eastAsia="en-GB"/>
        </w:rPr>
        <w:t>Monark</w:t>
      </w:r>
      <w:proofErr w:type="spellEnd"/>
      <w:r w:rsidR="00BD7C50" w:rsidRPr="00E9352F">
        <w:rPr>
          <w:rFonts w:ascii="Arial" w:hAnsi="Arial" w:cs="Arial"/>
          <w:lang w:eastAsia="en-GB"/>
        </w:rPr>
        <w:t xml:space="preserve"> Peak Bike </w:t>
      </w:r>
      <w:proofErr w:type="spellStart"/>
      <w:r w:rsidR="00BD7C50" w:rsidRPr="00E9352F">
        <w:rPr>
          <w:rFonts w:ascii="Arial" w:hAnsi="Arial" w:cs="Arial"/>
          <w:lang w:eastAsia="en-GB"/>
        </w:rPr>
        <w:t>Ergomedic</w:t>
      </w:r>
      <w:proofErr w:type="spellEnd"/>
      <w:r w:rsidR="00BD7C50" w:rsidRPr="00E9352F">
        <w:rPr>
          <w:rFonts w:ascii="Arial" w:hAnsi="Arial" w:cs="Arial"/>
          <w:lang w:eastAsia="en-GB"/>
        </w:rPr>
        <w:t xml:space="preserve"> 894E, </w:t>
      </w:r>
      <w:proofErr w:type="spellStart"/>
      <w:r w:rsidR="00BD7C50" w:rsidRPr="00E9352F">
        <w:rPr>
          <w:rFonts w:ascii="Arial" w:hAnsi="Arial" w:cs="Arial"/>
          <w:lang w:eastAsia="en-GB"/>
        </w:rPr>
        <w:t>Varberg</w:t>
      </w:r>
      <w:proofErr w:type="spellEnd"/>
      <w:r w:rsidR="00BD7C50" w:rsidRPr="00E9352F">
        <w:rPr>
          <w:rFonts w:ascii="Arial" w:hAnsi="Arial" w:cs="Arial"/>
          <w:lang w:eastAsia="en-GB"/>
        </w:rPr>
        <w:t xml:space="preserve">, Sweden). The </w:t>
      </w:r>
      <w:r w:rsidR="00464980" w:rsidRPr="00E9352F">
        <w:rPr>
          <w:rFonts w:ascii="Arial" w:hAnsi="Arial" w:cs="Arial"/>
          <w:lang w:eastAsia="en-GB"/>
        </w:rPr>
        <w:t>FAT</w:t>
      </w:r>
      <w:r w:rsidR="00464980" w:rsidRPr="00E9352F">
        <w:rPr>
          <w:rFonts w:ascii="Arial" w:hAnsi="Arial" w:cs="Arial"/>
          <w:vertAlign w:val="subscript"/>
          <w:lang w:eastAsia="en-GB"/>
        </w:rPr>
        <w:t xml:space="preserve">MAX </w:t>
      </w:r>
      <w:r w:rsidR="00464980" w:rsidRPr="00E9352F">
        <w:rPr>
          <w:rFonts w:ascii="Arial" w:hAnsi="Arial" w:cs="Arial"/>
          <w:lang w:eastAsia="en-GB"/>
        </w:rPr>
        <w:t xml:space="preserve">test </w:t>
      </w:r>
      <w:r w:rsidR="00BD7C50" w:rsidRPr="00E9352F">
        <w:rPr>
          <w:rFonts w:ascii="Arial" w:hAnsi="Arial" w:cs="Arial"/>
          <w:lang w:eastAsia="en-GB"/>
        </w:rPr>
        <w:t>comprised of: a) four-min stages for the first seven stages and b) two-min</w:t>
      </w:r>
      <w:r w:rsidR="00EE1877" w:rsidRPr="00E9352F">
        <w:rPr>
          <w:rFonts w:ascii="Arial" w:hAnsi="Arial" w:cs="Arial"/>
          <w:lang w:eastAsia="en-GB"/>
        </w:rPr>
        <w:t xml:space="preserve"> </w:t>
      </w:r>
      <w:r w:rsidR="00BD7C50" w:rsidRPr="00E9352F">
        <w:rPr>
          <w:rFonts w:ascii="Arial" w:hAnsi="Arial" w:cs="Arial"/>
          <w:lang w:eastAsia="en-GB"/>
        </w:rPr>
        <w:t>stages from the eighth stage onwards. Initial power output was set at ~</w:t>
      </w:r>
      <w:r w:rsidR="00464980" w:rsidRPr="00E9352F">
        <w:rPr>
          <w:rFonts w:ascii="Arial" w:hAnsi="Arial" w:cs="Arial"/>
          <w:lang w:eastAsia="en-GB"/>
        </w:rPr>
        <w:t xml:space="preserve"> 30 or </w:t>
      </w:r>
      <w:r w:rsidR="00BD7C50" w:rsidRPr="00E9352F">
        <w:rPr>
          <w:rFonts w:ascii="Arial" w:hAnsi="Arial" w:cs="Arial"/>
          <w:lang w:eastAsia="en-GB"/>
        </w:rPr>
        <w:t>40 W and increased</w:t>
      </w:r>
      <w:r w:rsidR="00EE1877" w:rsidRPr="00E9352F">
        <w:rPr>
          <w:rFonts w:ascii="Arial" w:hAnsi="Arial" w:cs="Arial"/>
          <w:lang w:eastAsia="en-GB"/>
        </w:rPr>
        <w:t xml:space="preserve"> </w:t>
      </w:r>
      <w:r w:rsidR="00BD7C50" w:rsidRPr="00E9352F">
        <w:rPr>
          <w:rFonts w:ascii="Arial" w:hAnsi="Arial" w:cs="Arial"/>
          <w:lang w:eastAsia="en-GB"/>
        </w:rPr>
        <w:t>by ~25 W over the next six stages</w:t>
      </w:r>
      <w:r w:rsidR="00464980" w:rsidRPr="00E9352F">
        <w:rPr>
          <w:rFonts w:ascii="Arial" w:hAnsi="Arial" w:cs="Arial"/>
          <w:lang w:eastAsia="en-GB"/>
        </w:rPr>
        <w:t xml:space="preserve"> (excluding the 10 W increment between first and second stage in the 30 W protocol) </w:t>
      </w:r>
      <w:r w:rsidR="00BD7C50" w:rsidRPr="00E9352F">
        <w:rPr>
          <w:rFonts w:ascii="Arial" w:hAnsi="Arial" w:cs="Arial"/>
          <w:lang w:eastAsia="en-GB"/>
        </w:rPr>
        <w:t>and by ~50 W from stage seven onwards</w:t>
      </w:r>
      <w:r w:rsidR="00EE1877" w:rsidRPr="00E9352F">
        <w:rPr>
          <w:rFonts w:ascii="Arial" w:hAnsi="Arial" w:cs="Arial"/>
          <w:lang w:eastAsia="en-GB"/>
        </w:rPr>
        <w:t>. Expired gas samples were c</w:t>
      </w:r>
      <w:r w:rsidR="00200815" w:rsidRPr="00E9352F">
        <w:rPr>
          <w:rFonts w:ascii="Arial" w:hAnsi="Arial" w:cs="Arial"/>
          <w:lang w:eastAsia="en-GB"/>
        </w:rPr>
        <w:t xml:space="preserve">ollected </w:t>
      </w:r>
      <w:r w:rsidR="00EE1877" w:rsidRPr="00E9352F">
        <w:rPr>
          <w:rFonts w:ascii="Arial" w:hAnsi="Arial" w:cs="Arial"/>
          <w:lang w:eastAsia="en-GB"/>
        </w:rPr>
        <w:t xml:space="preserve">in the final minute of the first seven stages and upon the participant’s signal of one-min remaining before volitional exhaustion. </w:t>
      </w:r>
    </w:p>
    <w:p w14:paraId="3E7EBF77" w14:textId="77777777" w:rsidR="00EE1877" w:rsidRPr="00E9352F" w:rsidRDefault="00EE1877" w:rsidP="00E9352F">
      <w:pPr>
        <w:autoSpaceDE w:val="0"/>
        <w:autoSpaceDN w:val="0"/>
        <w:adjustRightInd w:val="0"/>
        <w:jc w:val="both"/>
        <w:rPr>
          <w:rFonts w:ascii="Arial" w:hAnsi="Arial" w:cs="Arial"/>
          <w:lang w:eastAsia="en-GB"/>
        </w:rPr>
      </w:pPr>
    </w:p>
    <w:p w14:paraId="1F840901" w14:textId="77777777" w:rsidR="00B42C8B" w:rsidRPr="00E9352F" w:rsidRDefault="00EE1877" w:rsidP="00E9352F">
      <w:pPr>
        <w:autoSpaceDE w:val="0"/>
        <w:autoSpaceDN w:val="0"/>
        <w:adjustRightInd w:val="0"/>
        <w:jc w:val="both"/>
        <w:rPr>
          <w:rFonts w:ascii="Arial" w:hAnsi="Arial" w:cs="Arial"/>
          <w:b/>
          <w:lang w:eastAsia="en-GB"/>
        </w:rPr>
      </w:pPr>
      <w:r w:rsidRPr="00E9352F">
        <w:rPr>
          <w:rFonts w:ascii="Arial" w:hAnsi="Arial" w:cs="Arial"/>
          <w:b/>
          <w:lang w:eastAsia="en-GB"/>
        </w:rPr>
        <w:t>Peak power output (PPO)</w:t>
      </w:r>
    </w:p>
    <w:p w14:paraId="275A3DDC"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power output was the work rate of the last completed stage, plus the fraction of time in the final non-completed stage, multiplied by the work rate increment.</w:t>
      </w:r>
    </w:p>
    <w:p w14:paraId="4C03FA3C" w14:textId="77777777" w:rsidR="00B42C8B" w:rsidRPr="00E9352F" w:rsidRDefault="00B42C8B" w:rsidP="00E9352F">
      <w:pPr>
        <w:autoSpaceDE w:val="0"/>
        <w:autoSpaceDN w:val="0"/>
        <w:adjustRightInd w:val="0"/>
        <w:jc w:val="both"/>
        <w:rPr>
          <w:rFonts w:ascii="Arial" w:hAnsi="Arial" w:cs="Arial"/>
          <w:i/>
          <w:lang w:eastAsia="en-GB"/>
        </w:rPr>
      </w:pPr>
    </w:p>
    <w:p w14:paraId="4FA3BD6B" w14:textId="77777777" w:rsidR="00B42C8B" w:rsidRPr="00887596" w:rsidRDefault="00200815" w:rsidP="00E9352F">
      <w:pPr>
        <w:autoSpaceDE w:val="0"/>
        <w:autoSpaceDN w:val="0"/>
        <w:adjustRightInd w:val="0"/>
        <w:jc w:val="both"/>
        <w:rPr>
          <w:rFonts w:ascii="Arial" w:hAnsi="Arial" w:cs="Arial"/>
          <w:b/>
          <w:lang w:eastAsia="en-GB"/>
        </w:rPr>
      </w:pPr>
      <w:r w:rsidRPr="00887596">
        <w:rPr>
          <w:rFonts w:ascii="Arial" w:hAnsi="Arial" w:cs="Arial"/>
          <w:b/>
          <w:lang w:eastAsia="en-GB"/>
        </w:rPr>
        <w:t>V̇</w:t>
      </w:r>
      <w:r w:rsidR="00AB13A6" w:rsidRPr="00887596">
        <w:rPr>
          <w:rFonts w:ascii="Arial" w:hAnsi="Arial" w:cs="Arial"/>
          <w:b/>
          <w:lang w:eastAsia="en-GB"/>
        </w:rPr>
        <w:t>O</w:t>
      </w:r>
      <w:r w:rsidR="00B42C8B" w:rsidRPr="00887596">
        <w:rPr>
          <w:rFonts w:ascii="Arial" w:hAnsi="Arial" w:cs="Arial"/>
          <w:b/>
          <w:vertAlign w:val="subscript"/>
          <w:lang w:eastAsia="en-GB"/>
        </w:rPr>
        <w:t>2</w:t>
      </w:r>
      <w:r w:rsidR="00EE1877" w:rsidRPr="00887596">
        <w:rPr>
          <w:rFonts w:ascii="Arial" w:hAnsi="Arial" w:cs="Arial"/>
          <w:b/>
          <w:lang w:eastAsia="en-GB"/>
        </w:rPr>
        <w:t xml:space="preserve">peak </w:t>
      </w:r>
    </w:p>
    <w:p w14:paraId="57A681BE"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oxygen uptake (</w:t>
      </w:r>
      <w:r w:rsidR="00200815" w:rsidRPr="00E9352F">
        <w:rPr>
          <w:rFonts w:ascii="Arial" w:hAnsi="Arial" w:cs="Arial"/>
          <w:lang w:eastAsia="en-GB"/>
        </w:rPr>
        <w:t>V̇</w:t>
      </w:r>
      <w:r w:rsidRPr="00E9352F">
        <w:rPr>
          <w:rFonts w:ascii="Arial" w:hAnsi="Arial" w:cs="Arial"/>
          <w:lang w:eastAsia="en-GB"/>
        </w:rPr>
        <w:t>O</w:t>
      </w:r>
      <w:r w:rsidRPr="00E9352F">
        <w:rPr>
          <w:rFonts w:ascii="Arial" w:hAnsi="Arial" w:cs="Arial"/>
          <w:vertAlign w:val="subscript"/>
          <w:lang w:eastAsia="en-GB"/>
        </w:rPr>
        <w:t>2</w:t>
      </w:r>
      <w:r w:rsidR="00EE1877" w:rsidRPr="00E9352F">
        <w:rPr>
          <w:rFonts w:ascii="Arial" w:hAnsi="Arial" w:cs="Arial"/>
          <w:lang w:eastAsia="en-GB"/>
        </w:rPr>
        <w:t>peak</w:t>
      </w:r>
      <w:r w:rsidRPr="00E9352F">
        <w:rPr>
          <w:rFonts w:ascii="Arial" w:hAnsi="Arial" w:cs="Arial"/>
          <w:lang w:eastAsia="en-GB"/>
        </w:rPr>
        <w:t xml:space="preserve">) was </w:t>
      </w:r>
      <w:r w:rsidR="00EE1877" w:rsidRPr="00E9352F">
        <w:rPr>
          <w:rFonts w:ascii="Arial" w:hAnsi="Arial" w:cs="Arial"/>
          <w:lang w:eastAsia="en-GB"/>
        </w:rPr>
        <w:t xml:space="preserve">measured as the </w:t>
      </w:r>
      <w:r w:rsidRPr="00E9352F">
        <w:rPr>
          <w:rFonts w:ascii="Arial" w:hAnsi="Arial" w:cs="Arial"/>
          <w:lang w:eastAsia="en-GB"/>
        </w:rPr>
        <w:t xml:space="preserve">recorded oxygen uptake value </w:t>
      </w:r>
      <w:r w:rsidR="00EE1877" w:rsidRPr="00E9352F">
        <w:rPr>
          <w:rFonts w:ascii="Arial" w:hAnsi="Arial" w:cs="Arial"/>
          <w:lang w:eastAsia="en-GB"/>
        </w:rPr>
        <w:t>of the expired gas sample collected in the final min of the GE test.</w:t>
      </w:r>
      <w:r w:rsidR="00B93282" w:rsidRPr="00E9352F">
        <w:rPr>
          <w:rFonts w:ascii="Arial" w:hAnsi="Arial" w:cs="Arial"/>
          <w:lang w:eastAsia="en-GB"/>
        </w:rPr>
        <w:t xml:space="preserve"> </w:t>
      </w:r>
      <w:r w:rsidR="009D2A15" w:rsidRPr="00E9352F">
        <w:rPr>
          <w:rFonts w:ascii="Arial" w:hAnsi="Arial" w:cs="Arial"/>
          <w:lang w:eastAsia="en-GB"/>
        </w:rPr>
        <w:t>Participants were categorised into three training classifications (untrained, recreationally trained, highly trained) based on corresponding V̇O</w:t>
      </w:r>
      <w:r w:rsidR="009D2A15" w:rsidRPr="00E9352F">
        <w:rPr>
          <w:rFonts w:ascii="Arial" w:hAnsi="Arial" w:cs="Arial"/>
          <w:vertAlign w:val="subscript"/>
          <w:lang w:eastAsia="en-GB"/>
        </w:rPr>
        <w:t>2</w:t>
      </w:r>
      <w:r w:rsidR="009D2A15" w:rsidRPr="00E9352F">
        <w:rPr>
          <w:rFonts w:ascii="Arial" w:hAnsi="Arial" w:cs="Arial"/>
          <w:lang w:eastAsia="en-GB"/>
        </w:rPr>
        <w:t xml:space="preserve">peak thresholds outlined for males and females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xml:space="preserve"> et al., 2013; </w:t>
      </w:r>
      <w:proofErr w:type="spellStart"/>
      <w:r w:rsidR="009D2A15" w:rsidRPr="00E9352F">
        <w:rPr>
          <w:rFonts w:ascii="Arial" w:hAnsi="Arial" w:cs="Arial"/>
          <w:lang w:eastAsia="en-GB"/>
        </w:rPr>
        <w:t>Decroix</w:t>
      </w:r>
      <w:proofErr w:type="spellEnd"/>
      <w:r w:rsidR="009D2A15" w:rsidRPr="00E9352F">
        <w:rPr>
          <w:rFonts w:ascii="Arial" w:hAnsi="Arial" w:cs="Arial"/>
          <w:lang w:eastAsia="en-GB"/>
        </w:rPr>
        <w:t xml:space="preserve">,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Foster, &amp; Meeusen, 2016).</w:t>
      </w:r>
    </w:p>
    <w:p w14:paraId="29CC47FE" w14:textId="77777777" w:rsidR="00B42C8B" w:rsidRPr="00E9352F" w:rsidRDefault="00B42C8B" w:rsidP="00E9352F">
      <w:pPr>
        <w:autoSpaceDE w:val="0"/>
        <w:autoSpaceDN w:val="0"/>
        <w:adjustRightInd w:val="0"/>
        <w:jc w:val="both"/>
        <w:rPr>
          <w:rFonts w:ascii="Arial" w:hAnsi="Arial" w:cs="Arial"/>
          <w:lang w:eastAsia="en-GB"/>
        </w:rPr>
      </w:pPr>
    </w:p>
    <w:p w14:paraId="1CF29951" w14:textId="77777777" w:rsidR="00200815" w:rsidRPr="00E9352F" w:rsidRDefault="00200815" w:rsidP="00E9352F">
      <w:pPr>
        <w:autoSpaceDE w:val="0"/>
        <w:autoSpaceDN w:val="0"/>
        <w:adjustRightInd w:val="0"/>
        <w:jc w:val="both"/>
        <w:rPr>
          <w:rFonts w:ascii="Arial" w:hAnsi="Arial" w:cs="Arial"/>
          <w:b/>
          <w:lang w:eastAsia="en-GB"/>
        </w:rPr>
      </w:pPr>
      <w:r w:rsidRPr="00E9352F">
        <w:rPr>
          <w:rFonts w:ascii="Arial" w:hAnsi="Arial" w:cs="Arial"/>
          <w:b/>
          <w:lang w:eastAsia="en-GB"/>
        </w:rPr>
        <w:t>Peak fat oxidation</w:t>
      </w:r>
    </w:p>
    <w:p w14:paraId="21F07B30" w14:textId="114ACA29" w:rsidR="008267BE" w:rsidRPr="00E9352F" w:rsidRDefault="008267BE" w:rsidP="00E9352F">
      <w:pPr>
        <w:autoSpaceDE w:val="0"/>
        <w:autoSpaceDN w:val="0"/>
        <w:adjustRightInd w:val="0"/>
        <w:jc w:val="both"/>
        <w:rPr>
          <w:rFonts w:ascii="Arial" w:hAnsi="Arial" w:cs="Arial"/>
          <w:lang w:eastAsia="en-GB"/>
        </w:rPr>
      </w:pPr>
      <w:r w:rsidRPr="00E9352F">
        <w:rPr>
          <w:rFonts w:ascii="Arial" w:hAnsi="Arial" w:cs="Arial"/>
          <w:lang w:eastAsia="en-GB"/>
        </w:rPr>
        <w:t>Rate of p</w:t>
      </w:r>
      <w:r w:rsidR="00200815" w:rsidRPr="00E9352F">
        <w:rPr>
          <w:rFonts w:ascii="Arial" w:hAnsi="Arial" w:cs="Arial"/>
          <w:lang w:eastAsia="en-GB"/>
        </w:rPr>
        <w:t xml:space="preserve">eak fat oxidation </w:t>
      </w:r>
      <w:r w:rsidRPr="00E9352F">
        <w:rPr>
          <w:rFonts w:ascii="Arial" w:hAnsi="Arial" w:cs="Arial"/>
          <w:lang w:eastAsia="en-GB"/>
        </w:rPr>
        <w:t xml:space="preserve">during exercise </w:t>
      </w:r>
      <w:r w:rsidR="00200815" w:rsidRPr="00E9352F">
        <w:rPr>
          <w:rFonts w:ascii="Arial" w:hAnsi="Arial" w:cs="Arial"/>
          <w:lang w:eastAsia="en-GB"/>
        </w:rPr>
        <w:t>was measured in absolute rates of fat oxidation (g·min</w:t>
      </w:r>
      <w:r w:rsidR="00200815" w:rsidRPr="00E9352F">
        <w:rPr>
          <w:rFonts w:ascii="Arial" w:hAnsi="Arial" w:cs="Arial"/>
          <w:vertAlign w:val="superscript"/>
          <w:lang w:eastAsia="en-GB"/>
        </w:rPr>
        <w:t>-1</w:t>
      </w:r>
      <w:r w:rsidR="00200815" w:rsidRPr="00E9352F">
        <w:rPr>
          <w:rFonts w:ascii="Arial" w:hAnsi="Arial" w:cs="Arial"/>
          <w:lang w:eastAsia="en-GB"/>
        </w:rPr>
        <w:t>)</w:t>
      </w:r>
      <w:r w:rsidR="009D2A15" w:rsidRPr="00E9352F">
        <w:rPr>
          <w:rFonts w:ascii="Arial" w:hAnsi="Arial" w:cs="Arial"/>
          <w:lang w:eastAsia="en-GB"/>
        </w:rPr>
        <w:t xml:space="preserve"> and expressed relative to body mass (</w:t>
      </w:r>
      <w:proofErr w:type="spellStart"/>
      <w:r w:rsidR="009D2A15" w:rsidRPr="00E9352F">
        <w:rPr>
          <w:rFonts w:ascii="Arial" w:hAnsi="Arial" w:cs="Arial"/>
          <w:lang w:eastAsia="en-GB"/>
        </w:rPr>
        <w:t>mg·BM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and/or fat free mass (</w:t>
      </w:r>
      <w:proofErr w:type="spellStart"/>
      <w:r w:rsidR="009D2A15" w:rsidRPr="00E9352F">
        <w:rPr>
          <w:rFonts w:ascii="Arial" w:hAnsi="Arial" w:cs="Arial"/>
          <w:lang w:eastAsia="en-GB"/>
        </w:rPr>
        <w:t>mg·FFM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This was determined by</w:t>
      </w:r>
      <w:r w:rsidRPr="00E9352F">
        <w:rPr>
          <w:rFonts w:ascii="Arial" w:hAnsi="Arial" w:cs="Arial"/>
          <w:lang w:eastAsia="en-GB"/>
        </w:rPr>
        <w:t xml:space="preserve"> the measured </w:t>
      </w:r>
      <w:r w:rsidRPr="004D24CA">
        <w:rPr>
          <w:rFonts w:ascii="Arial" w:hAnsi="Arial" w:cs="Arial"/>
          <w:lang w:eastAsia="en-GB"/>
        </w:rPr>
        <w:t>values approach</w:t>
      </w:r>
      <w:r w:rsidR="0036092B">
        <w:rPr>
          <w:rFonts w:ascii="Arial" w:hAnsi="Arial" w:cs="Arial"/>
          <w:lang w:eastAsia="en-GB"/>
        </w:rPr>
        <w:t>.</w:t>
      </w:r>
    </w:p>
    <w:p w14:paraId="21B2B436" w14:textId="77777777" w:rsidR="008267BE" w:rsidRPr="00E9352F" w:rsidRDefault="008267BE" w:rsidP="00E9352F">
      <w:pPr>
        <w:autoSpaceDE w:val="0"/>
        <w:autoSpaceDN w:val="0"/>
        <w:adjustRightInd w:val="0"/>
        <w:jc w:val="both"/>
        <w:rPr>
          <w:rFonts w:ascii="Arial" w:hAnsi="Arial" w:cs="Arial"/>
          <w:lang w:eastAsia="en-GB"/>
        </w:rPr>
      </w:pPr>
    </w:p>
    <w:p w14:paraId="5FB831F0"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b/>
          <w:lang w:eastAsia="en-GB"/>
        </w:rPr>
        <w:lastRenderedPageBreak/>
        <w:t>FAT</w:t>
      </w:r>
      <w:r w:rsidRPr="00E9352F">
        <w:rPr>
          <w:rFonts w:ascii="Arial" w:hAnsi="Arial" w:cs="Arial"/>
          <w:b/>
          <w:vertAlign w:val="subscript"/>
          <w:lang w:eastAsia="en-GB"/>
        </w:rPr>
        <w:t>MAX</w:t>
      </w:r>
      <w:r w:rsidRPr="00E9352F">
        <w:rPr>
          <w:rFonts w:ascii="Arial" w:hAnsi="Arial" w:cs="Arial"/>
          <w:lang w:eastAsia="en-GB"/>
        </w:rPr>
        <w:t xml:space="preserve"> </w:t>
      </w:r>
    </w:p>
    <w:p w14:paraId="3860B87A"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lang w:eastAsia="en-GB"/>
        </w:rPr>
        <w:t>FAT</w:t>
      </w:r>
      <w:r w:rsidRPr="00E9352F">
        <w:rPr>
          <w:rFonts w:ascii="Arial" w:hAnsi="Arial" w:cs="Arial"/>
          <w:vertAlign w:val="subscript"/>
          <w:lang w:eastAsia="en-GB"/>
        </w:rPr>
        <w:t xml:space="preserve">MAX </w:t>
      </w:r>
      <w:r w:rsidR="008267BE" w:rsidRPr="00E9352F">
        <w:rPr>
          <w:rFonts w:ascii="Arial" w:hAnsi="Arial" w:cs="Arial"/>
          <w:lang w:eastAsia="en-GB"/>
        </w:rPr>
        <w:t>reflects the exercise intensity that peak fat oxidation was elicited at and w</w:t>
      </w:r>
      <w:r w:rsidRPr="00E9352F">
        <w:rPr>
          <w:rFonts w:ascii="Arial" w:hAnsi="Arial" w:cs="Arial"/>
          <w:lang w:eastAsia="en-GB"/>
        </w:rPr>
        <w:t>as expressed as a % of V̇O</w:t>
      </w:r>
      <w:r w:rsidRPr="00E9352F">
        <w:rPr>
          <w:rFonts w:ascii="Arial" w:hAnsi="Arial" w:cs="Arial"/>
          <w:vertAlign w:val="subscript"/>
          <w:lang w:eastAsia="en-GB"/>
        </w:rPr>
        <w:t>2</w:t>
      </w:r>
      <w:r w:rsidRPr="00E9352F">
        <w:rPr>
          <w:rFonts w:ascii="Arial" w:hAnsi="Arial" w:cs="Arial"/>
          <w:lang w:eastAsia="en-GB"/>
        </w:rPr>
        <w:t>peak</w:t>
      </w:r>
      <w:r w:rsidR="008267BE" w:rsidRPr="00E9352F">
        <w:rPr>
          <w:rFonts w:ascii="Arial" w:hAnsi="Arial" w:cs="Arial"/>
          <w:lang w:eastAsia="en-GB"/>
        </w:rPr>
        <w:t>.</w:t>
      </w:r>
      <w:r w:rsidRPr="00E9352F">
        <w:rPr>
          <w:rFonts w:ascii="Arial" w:hAnsi="Arial" w:cs="Arial"/>
          <w:lang w:eastAsia="en-GB"/>
        </w:rPr>
        <w:t xml:space="preserve">  </w:t>
      </w:r>
    </w:p>
    <w:p w14:paraId="7191F68F" w14:textId="77777777" w:rsidR="00200815" w:rsidRPr="00E9352F" w:rsidRDefault="00200815" w:rsidP="00E9352F">
      <w:pPr>
        <w:autoSpaceDE w:val="0"/>
        <w:autoSpaceDN w:val="0"/>
        <w:adjustRightInd w:val="0"/>
        <w:jc w:val="both"/>
        <w:rPr>
          <w:rFonts w:ascii="Arial" w:hAnsi="Arial" w:cs="Arial"/>
          <w:lang w:eastAsia="en-GB"/>
        </w:rPr>
      </w:pPr>
    </w:p>
    <w:p w14:paraId="07ACCEC7" w14:textId="77777777" w:rsidR="00200815" w:rsidRPr="00E9352F" w:rsidRDefault="00200815" w:rsidP="00E9352F">
      <w:pPr>
        <w:jc w:val="both"/>
        <w:rPr>
          <w:rFonts w:ascii="Arial" w:hAnsi="Arial" w:cs="Arial"/>
          <w:b/>
        </w:rPr>
      </w:pPr>
      <w:r w:rsidRPr="00E9352F">
        <w:rPr>
          <w:rFonts w:ascii="Arial" w:hAnsi="Arial" w:cs="Arial"/>
          <w:b/>
        </w:rPr>
        <w:t>Metabolic measurements</w:t>
      </w:r>
    </w:p>
    <w:p w14:paraId="0B856177" w14:textId="77777777" w:rsidR="00764353" w:rsidRPr="00E9352F" w:rsidRDefault="00200815" w:rsidP="00E9352F">
      <w:pPr>
        <w:jc w:val="both"/>
        <w:rPr>
          <w:rFonts w:ascii="Arial" w:hAnsi="Arial" w:cs="Arial"/>
        </w:rPr>
      </w:pPr>
      <w:r w:rsidRPr="00E9352F">
        <w:rPr>
          <w:rFonts w:ascii="Arial" w:hAnsi="Arial" w:cs="Arial"/>
        </w:rPr>
        <w:t>Expired gas samples were collected into 100-150 L Douglas bags (</w:t>
      </w:r>
      <w:proofErr w:type="spellStart"/>
      <w:r w:rsidRPr="00E9352F">
        <w:rPr>
          <w:rFonts w:ascii="Arial" w:hAnsi="Arial" w:cs="Arial"/>
        </w:rPr>
        <w:t>Cranlea</w:t>
      </w:r>
      <w:proofErr w:type="spellEnd"/>
      <w:r w:rsidRPr="00E9352F">
        <w:rPr>
          <w:rFonts w:ascii="Arial" w:hAnsi="Arial" w:cs="Arial"/>
        </w:rPr>
        <w:t xml:space="preserve"> and Hans Rudolph, Birmingham, UK) via a mouthpiece connected to a two-way, T shaped non-rebreathing valve (Model 2700, Hans Rudolph Inc, Kansas City, USA) and </w:t>
      </w:r>
      <w:proofErr w:type="spellStart"/>
      <w:r w:rsidRPr="00E9352F">
        <w:rPr>
          <w:rFonts w:ascii="Arial" w:hAnsi="Arial" w:cs="Arial"/>
        </w:rPr>
        <w:t>falconia</w:t>
      </w:r>
      <w:proofErr w:type="spellEnd"/>
      <w:r w:rsidRPr="00E9352F">
        <w:rPr>
          <w:rFonts w:ascii="Arial" w:hAnsi="Arial" w:cs="Arial"/>
        </w:rPr>
        <w:t xml:space="preserve"> tubing (Hans Rudolph Inc, Kansas City, USA). Concentrations of O</w:t>
      </w:r>
      <w:r w:rsidRPr="00E9352F">
        <w:rPr>
          <w:rFonts w:ascii="Arial" w:hAnsi="Arial" w:cs="Arial"/>
          <w:vertAlign w:val="subscript"/>
        </w:rPr>
        <w:t>2</w:t>
      </w:r>
      <w:r w:rsidRPr="00E9352F">
        <w:rPr>
          <w:rFonts w:ascii="Arial" w:hAnsi="Arial" w:cs="Arial"/>
        </w:rPr>
        <w:t xml:space="preserve"> and CO</w:t>
      </w:r>
      <w:r w:rsidRPr="00E9352F">
        <w:rPr>
          <w:rFonts w:ascii="Arial" w:hAnsi="Arial" w:cs="Arial"/>
          <w:vertAlign w:val="subscript"/>
        </w:rPr>
        <w:t>2</w:t>
      </w:r>
      <w:r w:rsidRPr="00E9352F">
        <w:rPr>
          <w:rFonts w:ascii="Arial" w:hAnsi="Arial" w:cs="Arial"/>
        </w:rPr>
        <w:t xml:space="preserve"> were measured in a known volume of each sample via paramagnetic and infrared transducers, respectively (Mini MP 5200, </w:t>
      </w:r>
      <w:proofErr w:type="spellStart"/>
      <w:r w:rsidRPr="00E9352F">
        <w:rPr>
          <w:rFonts w:ascii="Arial" w:hAnsi="Arial" w:cs="Arial"/>
        </w:rPr>
        <w:t>Servomex</w:t>
      </w:r>
      <w:proofErr w:type="spellEnd"/>
      <w:r w:rsidRPr="00E9352F">
        <w:rPr>
          <w:rFonts w:ascii="Arial" w:hAnsi="Arial" w:cs="Arial"/>
        </w:rPr>
        <w:t xml:space="preserve"> Group Ltd., Crowborough, East Sussex, UK) and until values were stable. The sensor was calibrated to a two-point low and high calibration of known gas concentrations (Low: 99.998 % Nitrogen, 0 % O2 and CO2; High: Balance nitrogen mix, 20.06 % O2, 8.11 % CO2) (BOC Industrial Gases, Linde AG, Munich, Germany). Concurrent measurements of inspired air composition were made during collection of each expired gas sample to adjust for changes in ambient O2 and CO2 concentrations (Betts and Thompson 2012). </w:t>
      </w:r>
      <w:r w:rsidR="00097CA1" w:rsidRPr="00E9352F">
        <w:rPr>
          <w:rFonts w:ascii="Arial" w:hAnsi="Arial" w:cs="Arial"/>
          <w:lang w:val="en-US"/>
        </w:rPr>
        <w:t>The ambient temperature, humidity and barometric pressure were recorded</w:t>
      </w:r>
      <w:r w:rsidR="00097CA1" w:rsidRPr="00E9352F">
        <w:rPr>
          <w:rFonts w:ascii="Arial" w:hAnsi="Arial" w:cs="Arial"/>
        </w:rPr>
        <w:t xml:space="preserve"> via a weather station</w:t>
      </w:r>
      <w:r w:rsidR="00E332F6">
        <w:rPr>
          <w:rFonts w:ascii="Arial" w:hAnsi="Arial" w:cs="Arial"/>
        </w:rPr>
        <w:t xml:space="preserve"> </w:t>
      </w:r>
      <w:r w:rsidR="00E332F6" w:rsidRPr="00E332F6">
        <w:rPr>
          <w:rFonts w:ascii="Arial" w:hAnsi="Arial" w:cs="Arial"/>
        </w:rPr>
        <w:t>(</w:t>
      </w:r>
      <w:proofErr w:type="spellStart"/>
      <w:r w:rsidR="00E332F6" w:rsidRPr="00E332F6">
        <w:rPr>
          <w:rFonts w:ascii="Arial" w:hAnsi="Arial" w:cs="Arial"/>
        </w:rPr>
        <w:t>Technoline</w:t>
      </w:r>
      <w:proofErr w:type="spellEnd"/>
      <w:r w:rsidR="00E332F6" w:rsidRPr="00E332F6">
        <w:rPr>
          <w:rFonts w:ascii="Arial" w:hAnsi="Arial" w:cs="Arial"/>
        </w:rPr>
        <w:t xml:space="preserve"> WS 6730, </w:t>
      </w:r>
      <w:proofErr w:type="spellStart"/>
      <w:r w:rsidR="00E332F6" w:rsidRPr="00E332F6">
        <w:rPr>
          <w:rFonts w:ascii="Arial" w:hAnsi="Arial" w:cs="Arial"/>
        </w:rPr>
        <w:t>TechnoTrade</w:t>
      </w:r>
      <w:proofErr w:type="spellEnd"/>
      <w:r w:rsidR="00E332F6" w:rsidRPr="00E332F6">
        <w:rPr>
          <w:rFonts w:ascii="Arial" w:hAnsi="Arial" w:cs="Arial"/>
        </w:rPr>
        <w:t xml:space="preserve"> Import-Export GmbH, Berlin, Germany).</w:t>
      </w:r>
      <w:r w:rsidR="00097CA1" w:rsidRPr="00E9352F">
        <w:rPr>
          <w:rFonts w:ascii="Arial" w:hAnsi="Arial" w:cs="Arial"/>
        </w:rPr>
        <w:t xml:space="preserve"> so that </w:t>
      </w:r>
      <w:r w:rsidR="00097CA1" w:rsidRPr="00E9352F">
        <w:rPr>
          <w:rFonts w:ascii="Arial" w:hAnsi="Arial" w:cs="Arial"/>
          <w:lang w:val="en-US"/>
        </w:rPr>
        <w:t>expired air volumes could be corrected to standard temperature and pressure for dry gases. The volume and temperature of expired air samples were measured on a dry gas meter (</w:t>
      </w:r>
      <w:r w:rsidR="00097CA1" w:rsidRPr="00E9352F">
        <w:rPr>
          <w:rFonts w:ascii="Arial" w:hAnsi="Arial" w:cs="Arial"/>
        </w:rPr>
        <w:t>Harvard Apparatus</w:t>
      </w:r>
      <w:r w:rsidR="00097CA1" w:rsidRPr="00E9352F">
        <w:rPr>
          <w:rFonts w:ascii="Arial" w:hAnsi="Arial" w:cs="Arial"/>
          <w:lang w:val="en-US"/>
        </w:rPr>
        <w:t>) and using a digital thermistor, respectively (</w:t>
      </w:r>
      <w:r w:rsidR="00097CA1" w:rsidRPr="00E9352F">
        <w:rPr>
          <w:rFonts w:ascii="Arial" w:hAnsi="Arial" w:cs="Arial"/>
        </w:rPr>
        <w:t xml:space="preserve">HI98509 </w:t>
      </w:r>
      <w:proofErr w:type="spellStart"/>
      <w:r w:rsidR="00097CA1" w:rsidRPr="00E9352F">
        <w:rPr>
          <w:rFonts w:ascii="Arial" w:hAnsi="Arial" w:cs="Arial"/>
        </w:rPr>
        <w:t>Checktemp</w:t>
      </w:r>
      <w:proofErr w:type="spellEnd"/>
      <w:r w:rsidR="00097CA1" w:rsidRPr="00E9352F">
        <w:rPr>
          <w:rFonts w:ascii="Arial" w:hAnsi="Arial" w:cs="Arial"/>
        </w:rPr>
        <w:t xml:space="preserve"> 1, Hanna Instruments Ltd, Bedford, UK</w:t>
      </w:r>
      <w:r w:rsidR="00097CA1" w:rsidRPr="00E9352F">
        <w:rPr>
          <w:rFonts w:ascii="Arial" w:hAnsi="Arial" w:cs="Arial"/>
          <w:lang w:val="en-US"/>
        </w:rPr>
        <w:t xml:space="preserve">). The Haldane transformation was applied to calculate inspired gas volumes and to determine </w:t>
      </w:r>
      <w:r w:rsidR="00097CA1" w:rsidRPr="00E9352F">
        <w:rPr>
          <w:rFonts w:ascii="Arial" w:hAnsi="Arial" w:cs="Arial"/>
        </w:rPr>
        <w:t>V̇O</w:t>
      </w:r>
      <w:r w:rsidR="00097CA1" w:rsidRPr="00E9352F">
        <w:rPr>
          <w:rFonts w:ascii="Arial" w:hAnsi="Arial" w:cs="Arial"/>
          <w:vertAlign w:val="subscript"/>
        </w:rPr>
        <w:t>2</w:t>
      </w:r>
      <w:r w:rsidR="00097CA1" w:rsidRPr="00E9352F">
        <w:rPr>
          <w:rFonts w:ascii="Arial" w:hAnsi="Arial" w:cs="Arial"/>
        </w:rPr>
        <w:t xml:space="preserve"> (L·min</w:t>
      </w:r>
      <w:r w:rsidR="00097CA1" w:rsidRPr="00E9352F">
        <w:rPr>
          <w:rFonts w:ascii="Arial" w:hAnsi="Arial" w:cs="Arial"/>
          <w:vertAlign w:val="superscript"/>
        </w:rPr>
        <w:t>-1</w:t>
      </w:r>
      <w:r w:rsidR="00097CA1" w:rsidRPr="00E9352F">
        <w:rPr>
          <w:rFonts w:ascii="Arial" w:hAnsi="Arial" w:cs="Arial"/>
        </w:rPr>
        <w:t>), V̇CO</w:t>
      </w:r>
      <w:r w:rsidR="00097CA1" w:rsidRPr="00E9352F">
        <w:rPr>
          <w:rFonts w:ascii="Arial" w:hAnsi="Arial" w:cs="Arial"/>
          <w:vertAlign w:val="subscript"/>
        </w:rPr>
        <w:t xml:space="preserve">2 </w:t>
      </w:r>
      <w:r w:rsidR="00097CA1" w:rsidRPr="00E9352F">
        <w:rPr>
          <w:rFonts w:ascii="Arial" w:hAnsi="Arial" w:cs="Arial"/>
        </w:rPr>
        <w:t>(L·min</w:t>
      </w:r>
      <w:r w:rsidR="00097CA1" w:rsidRPr="00E9352F">
        <w:rPr>
          <w:rFonts w:ascii="Arial" w:hAnsi="Arial" w:cs="Arial"/>
          <w:vertAlign w:val="superscript"/>
        </w:rPr>
        <w:t>-1</w:t>
      </w:r>
      <w:r w:rsidR="00097CA1" w:rsidRPr="00E9352F">
        <w:rPr>
          <w:rFonts w:ascii="Arial" w:hAnsi="Arial" w:cs="Arial"/>
        </w:rPr>
        <w:t>), V̇E (L·min</w:t>
      </w:r>
      <w:r w:rsidR="00097CA1" w:rsidRPr="00E9352F">
        <w:rPr>
          <w:rFonts w:ascii="Arial" w:hAnsi="Arial" w:cs="Arial"/>
          <w:vertAlign w:val="superscript"/>
        </w:rPr>
        <w:t>-1</w:t>
      </w:r>
      <w:r w:rsidR="00097CA1" w:rsidRPr="00E9352F">
        <w:rPr>
          <w:rFonts w:ascii="Arial" w:hAnsi="Arial" w:cs="Arial"/>
        </w:rPr>
        <w:t xml:space="preserve">) and respiratory exchange ratio (RER). </w:t>
      </w:r>
      <w:r w:rsidR="00097CA1" w:rsidRPr="00E9352F">
        <w:rPr>
          <w:rFonts w:ascii="Arial" w:hAnsi="Arial" w:cs="Arial"/>
          <w:vertAlign w:val="subscript"/>
        </w:rPr>
        <w:t xml:space="preserve"> </w:t>
      </w:r>
      <w:r w:rsidRPr="00E9352F">
        <w:rPr>
          <w:rFonts w:ascii="Arial" w:hAnsi="Arial" w:cs="Arial"/>
        </w:rPr>
        <w:t xml:space="preserve">Indirect calorimetry was </w:t>
      </w:r>
      <w:r w:rsidR="00097CA1" w:rsidRPr="00E9352F">
        <w:rPr>
          <w:rFonts w:ascii="Arial" w:hAnsi="Arial" w:cs="Arial"/>
        </w:rPr>
        <w:t xml:space="preserve">then </w:t>
      </w:r>
      <w:r w:rsidRPr="00E9352F">
        <w:rPr>
          <w:rFonts w:ascii="Arial" w:hAnsi="Arial" w:cs="Arial"/>
        </w:rPr>
        <w:t>used to determine</w:t>
      </w:r>
      <w:r w:rsidR="00097CA1" w:rsidRPr="00E9352F">
        <w:rPr>
          <w:rFonts w:ascii="Arial" w:hAnsi="Arial" w:cs="Arial"/>
        </w:rPr>
        <w:t xml:space="preserve"> </w:t>
      </w:r>
      <w:r w:rsidR="00E332F6">
        <w:rPr>
          <w:rFonts w:ascii="Arial" w:hAnsi="Arial" w:cs="Arial"/>
        </w:rPr>
        <w:t>energy expenditure (kcal</w:t>
      </w:r>
      <w:r w:rsidR="00E332F6" w:rsidRPr="00E9352F">
        <w:rPr>
          <w:rFonts w:ascii="Arial" w:hAnsi="Arial" w:cs="Arial"/>
        </w:rPr>
        <w:t>·min</w:t>
      </w:r>
      <w:r w:rsidR="00E332F6" w:rsidRPr="00E9352F">
        <w:rPr>
          <w:rFonts w:ascii="Arial" w:hAnsi="Arial" w:cs="Arial"/>
          <w:vertAlign w:val="superscript"/>
        </w:rPr>
        <w:t>-1</w:t>
      </w:r>
      <w:r w:rsidR="00E332F6">
        <w:rPr>
          <w:rFonts w:ascii="Arial" w:hAnsi="Arial" w:cs="Arial"/>
        </w:rPr>
        <w:t xml:space="preserve">) and </w:t>
      </w:r>
      <w:r w:rsidRPr="00E9352F">
        <w:rPr>
          <w:rFonts w:ascii="Arial" w:hAnsi="Arial" w:cs="Arial"/>
        </w:rPr>
        <w:t>rate</w:t>
      </w:r>
      <w:r w:rsidR="00097CA1" w:rsidRPr="00E9352F">
        <w:rPr>
          <w:rFonts w:ascii="Arial" w:hAnsi="Arial" w:cs="Arial"/>
        </w:rPr>
        <w:t>s</w:t>
      </w:r>
      <w:r w:rsidRPr="00E9352F">
        <w:rPr>
          <w:rFonts w:ascii="Arial" w:hAnsi="Arial" w:cs="Arial"/>
        </w:rPr>
        <w:t xml:space="preserve"> of</w:t>
      </w:r>
      <w:r w:rsidR="00E332F6">
        <w:rPr>
          <w:rFonts w:ascii="Arial" w:hAnsi="Arial" w:cs="Arial"/>
        </w:rPr>
        <w:t xml:space="preserve"> carbohydrate and fat oxidation </w:t>
      </w:r>
      <w:r w:rsidRPr="00E9352F">
        <w:rPr>
          <w:rFonts w:ascii="Arial" w:hAnsi="Arial" w:cs="Arial"/>
        </w:rPr>
        <w:t>estimated by stoichiometric equations (</w:t>
      </w:r>
      <w:r w:rsidR="00E332F6">
        <w:rPr>
          <w:rFonts w:ascii="Arial" w:hAnsi="Arial" w:cs="Arial"/>
        </w:rPr>
        <w:t xml:space="preserve">Jeukendrup and Wallis, 2005; </w:t>
      </w:r>
      <w:r w:rsidRPr="00E9352F">
        <w:rPr>
          <w:rFonts w:ascii="Arial" w:hAnsi="Arial" w:cs="Arial"/>
        </w:rPr>
        <w:t>Frayn 1983) assuming urinary nitrogen excretion was negligible</w:t>
      </w:r>
      <w:r w:rsidR="00097CA1" w:rsidRPr="00E9352F">
        <w:rPr>
          <w:rFonts w:ascii="Arial" w:hAnsi="Arial" w:cs="Arial"/>
        </w:rPr>
        <w:t>.</w:t>
      </w:r>
    </w:p>
    <w:p w14:paraId="16F8DC6A" w14:textId="77777777" w:rsidR="00464980" w:rsidRPr="00E9352F" w:rsidRDefault="00464980" w:rsidP="00E9352F">
      <w:pPr>
        <w:jc w:val="both"/>
        <w:rPr>
          <w:rFonts w:ascii="Arial" w:hAnsi="Arial" w:cs="Arial"/>
        </w:rPr>
      </w:pPr>
    </w:p>
    <w:p w14:paraId="642C7B3D" w14:textId="77777777" w:rsidR="00464980" w:rsidRPr="00E9352F" w:rsidRDefault="00464980" w:rsidP="00E9352F">
      <w:pPr>
        <w:jc w:val="both"/>
        <w:rPr>
          <w:rFonts w:ascii="Arial" w:hAnsi="Arial" w:cs="Arial"/>
          <w:b/>
          <w:lang w:val="en-US"/>
        </w:rPr>
      </w:pPr>
      <w:r w:rsidRPr="00E9352F">
        <w:rPr>
          <w:rFonts w:ascii="Arial" w:hAnsi="Arial" w:cs="Arial"/>
          <w:b/>
          <w:lang w:val="en-US"/>
        </w:rPr>
        <w:t xml:space="preserve">Habitual physical activity levels </w:t>
      </w:r>
    </w:p>
    <w:p w14:paraId="1980BDDC" w14:textId="77777777" w:rsidR="00464980" w:rsidRPr="00E9352F" w:rsidRDefault="00464980" w:rsidP="00E9352F">
      <w:pPr>
        <w:jc w:val="both"/>
        <w:rPr>
          <w:rFonts w:ascii="Arial" w:hAnsi="Arial" w:cs="Arial"/>
          <w:lang w:val="en-US"/>
        </w:rPr>
      </w:pPr>
      <w:r w:rsidRPr="00E9352F">
        <w:rPr>
          <w:rFonts w:ascii="Arial" w:hAnsi="Arial" w:cs="Arial"/>
          <w:lang w:val="en-US"/>
        </w:rPr>
        <w:t>Habitual physical activity levels were assessed by asking participants to wear a physical activity monitor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Cambridge Neurotechnology, Papworth, UK) over the 7-days prior to Trial A. </w:t>
      </w:r>
      <w:r w:rsidR="00B93282" w:rsidRPr="00E9352F">
        <w:rPr>
          <w:rFonts w:ascii="Arial" w:hAnsi="Arial" w:cs="Arial"/>
          <w:lang w:val="en-US"/>
        </w:rPr>
        <w:t>A</w:t>
      </w:r>
      <w:r w:rsidRPr="00E9352F">
        <w:rPr>
          <w:rFonts w:ascii="Arial" w:hAnsi="Arial" w:cs="Arial"/>
          <w:lang w:val="en-US"/>
        </w:rPr>
        <w:t xml:space="preserve"> minimum of four days was required to determine habitual physical activity levels</w:t>
      </w:r>
      <w:r w:rsidR="00B93282" w:rsidRPr="00E9352F">
        <w:rPr>
          <w:rFonts w:ascii="Arial" w:hAnsi="Arial" w:cs="Arial"/>
          <w:lang w:val="en-US"/>
        </w:rPr>
        <w:t>.</w:t>
      </w:r>
      <w:r w:rsidRPr="00E9352F">
        <w:rPr>
          <w:rFonts w:ascii="Arial" w:hAnsi="Arial" w:cs="Arial"/>
          <w:lang w:val="en-US"/>
        </w:rPr>
        <w:t xml:space="preserve"> </w:t>
      </w:r>
      <w:r w:rsidR="00B93282" w:rsidRPr="00E9352F">
        <w:rPr>
          <w:rFonts w:ascii="Arial" w:hAnsi="Arial" w:cs="Arial"/>
          <w:lang w:val="en-US"/>
        </w:rPr>
        <w:t>E</w:t>
      </w:r>
      <w:r w:rsidRPr="00E9352F">
        <w:rPr>
          <w:rFonts w:ascii="Arial" w:hAnsi="Arial" w:cs="Arial"/>
          <w:lang w:val="en-US"/>
        </w:rPr>
        <w:t>nergy expenditure and heart rate values from rest and the FAT</w:t>
      </w:r>
      <w:r w:rsidRPr="00E9352F">
        <w:rPr>
          <w:rFonts w:ascii="Arial" w:hAnsi="Arial" w:cs="Arial"/>
          <w:vertAlign w:val="subscript"/>
          <w:lang w:val="en-US"/>
        </w:rPr>
        <w:t>MAX</w:t>
      </w:r>
      <w:r w:rsidRPr="00E9352F">
        <w:rPr>
          <w:rFonts w:ascii="Arial" w:hAnsi="Arial" w:cs="Arial"/>
          <w:lang w:val="en-US"/>
        </w:rPr>
        <w:t xml:space="preserve"> test were entered in the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software to derive an individually calibrated model estimate of physical activity energy expenditure (kcal·day</w:t>
      </w:r>
      <w:r w:rsidRPr="00E9352F">
        <w:rPr>
          <w:rFonts w:ascii="Arial" w:hAnsi="Arial" w:cs="Arial"/>
          <w:vertAlign w:val="superscript"/>
          <w:lang w:val="en-US"/>
        </w:rPr>
        <w:t>-1</w:t>
      </w:r>
      <w:r w:rsidRPr="00E9352F">
        <w:rPr>
          <w:rFonts w:ascii="Arial" w:hAnsi="Arial" w:cs="Arial"/>
          <w:lang w:val="en-US"/>
        </w:rPr>
        <w:t>)</w:t>
      </w:r>
      <w:r w:rsidR="00B93282" w:rsidRPr="00E9352F">
        <w:rPr>
          <w:rFonts w:ascii="Arial" w:hAnsi="Arial" w:cs="Arial"/>
          <w:lang w:val="en-US"/>
        </w:rPr>
        <w:t xml:space="preserve">. </w:t>
      </w:r>
      <w:r w:rsidR="009D2A15" w:rsidRPr="00E9352F">
        <w:rPr>
          <w:rFonts w:ascii="Arial" w:hAnsi="Arial" w:cs="Arial"/>
          <w:lang w:val="en-US"/>
        </w:rPr>
        <w:t xml:space="preserve">Participants were </w:t>
      </w:r>
      <w:proofErr w:type="spellStart"/>
      <w:r w:rsidR="00B93282" w:rsidRPr="00E9352F">
        <w:rPr>
          <w:rFonts w:ascii="Arial" w:hAnsi="Arial" w:cs="Arial"/>
          <w:lang w:val="en-US"/>
        </w:rPr>
        <w:t>categorised</w:t>
      </w:r>
      <w:proofErr w:type="spellEnd"/>
      <w:r w:rsidR="009D2A15" w:rsidRPr="00E9352F">
        <w:rPr>
          <w:rFonts w:ascii="Arial" w:hAnsi="Arial" w:cs="Arial"/>
          <w:lang w:val="en-US"/>
        </w:rPr>
        <w:t xml:space="preserve"> into four physical activity level classifications (sedentary, low active, moderately active, very active) as identified by (Brooks, Butte, Rand, Flatt, &amp; Caballero, 2004).</w:t>
      </w:r>
    </w:p>
    <w:p w14:paraId="7B006D92" w14:textId="77777777" w:rsidR="00464980" w:rsidRPr="00E9352F" w:rsidRDefault="00464980" w:rsidP="00E9352F">
      <w:pPr>
        <w:jc w:val="both"/>
        <w:rPr>
          <w:rFonts w:ascii="Arial" w:hAnsi="Arial" w:cs="Arial"/>
          <w:lang w:val="en-US"/>
        </w:rPr>
      </w:pPr>
    </w:p>
    <w:p w14:paraId="5A787346" w14:textId="77777777" w:rsidR="00464980" w:rsidRPr="00E9352F" w:rsidRDefault="009D2A15" w:rsidP="00E9352F">
      <w:pPr>
        <w:jc w:val="both"/>
        <w:rPr>
          <w:rFonts w:ascii="Arial" w:hAnsi="Arial" w:cs="Arial"/>
          <w:b/>
          <w:lang w:val="en-US"/>
        </w:rPr>
      </w:pPr>
      <w:r w:rsidRPr="00E9352F">
        <w:rPr>
          <w:rFonts w:ascii="Arial" w:hAnsi="Arial" w:cs="Arial"/>
          <w:b/>
          <w:lang w:val="en-US"/>
        </w:rPr>
        <w:t>Habitual dietary and macronutrient intakes</w:t>
      </w:r>
    </w:p>
    <w:p w14:paraId="59EB1A5F" w14:textId="77777777" w:rsidR="00464980" w:rsidRPr="00E9352F" w:rsidRDefault="00464980" w:rsidP="00E9352F">
      <w:pPr>
        <w:jc w:val="both"/>
        <w:rPr>
          <w:rFonts w:ascii="Arial" w:hAnsi="Arial" w:cs="Arial"/>
          <w:lang w:val="en-US"/>
        </w:rPr>
      </w:pPr>
      <w:r w:rsidRPr="00E9352F">
        <w:rPr>
          <w:rFonts w:ascii="Arial" w:hAnsi="Arial" w:cs="Arial"/>
          <w:lang w:val="en-US"/>
        </w:rPr>
        <w:t xml:space="preserve">Habitual energy and macronutrient intake </w:t>
      </w:r>
      <w:r w:rsidR="009D2A15" w:rsidRPr="00E9352F">
        <w:rPr>
          <w:rFonts w:ascii="Arial" w:hAnsi="Arial" w:cs="Arial"/>
          <w:lang w:val="en-US"/>
        </w:rPr>
        <w:t>were</w:t>
      </w:r>
      <w:r w:rsidRPr="00E9352F">
        <w:rPr>
          <w:rFonts w:ascii="Arial" w:hAnsi="Arial" w:cs="Arial"/>
          <w:lang w:val="en-US"/>
        </w:rPr>
        <w:t xml:space="preserve"> assessed by a self-weighed diet diary. Participants were provided with a set of scales (Pro Pocket Scale TOP2KG, Smart Weigh Scales) and asked to keep a written record of their food and fluid intake for at least 4 days in the week preceding Trial A (including at least one weekend day).</w:t>
      </w:r>
      <w:r w:rsidR="00B93282" w:rsidRPr="00E9352F">
        <w:rPr>
          <w:rFonts w:ascii="Arial" w:hAnsi="Arial" w:cs="Arial"/>
          <w:lang w:val="en-US"/>
        </w:rPr>
        <w:t xml:space="preserve"> </w:t>
      </w:r>
      <w:r w:rsidRPr="00E9352F">
        <w:rPr>
          <w:rFonts w:ascii="Arial" w:hAnsi="Arial" w:cs="Arial"/>
          <w:lang w:val="en-US"/>
        </w:rPr>
        <w:t xml:space="preserve">Diet records were </w:t>
      </w:r>
      <w:proofErr w:type="spellStart"/>
      <w:r w:rsidRPr="00E9352F">
        <w:rPr>
          <w:rFonts w:ascii="Arial" w:hAnsi="Arial" w:cs="Arial"/>
          <w:lang w:val="en-US"/>
        </w:rPr>
        <w:t>analysed</w:t>
      </w:r>
      <w:proofErr w:type="spellEnd"/>
      <w:r w:rsidRPr="00E9352F">
        <w:rPr>
          <w:rFonts w:ascii="Arial" w:hAnsi="Arial" w:cs="Arial"/>
          <w:lang w:val="en-US"/>
        </w:rPr>
        <w:t xml:space="preserve"> using </w:t>
      </w:r>
      <w:proofErr w:type="spellStart"/>
      <w:r w:rsidRPr="00E9352F">
        <w:rPr>
          <w:rFonts w:ascii="Arial" w:hAnsi="Arial" w:cs="Arial"/>
          <w:lang w:val="en-US"/>
        </w:rPr>
        <w:t>Nutritics</w:t>
      </w:r>
      <w:proofErr w:type="spellEnd"/>
      <w:r w:rsidRPr="00E9352F">
        <w:rPr>
          <w:rFonts w:ascii="Arial" w:hAnsi="Arial" w:cs="Arial"/>
          <w:lang w:val="en-US"/>
        </w:rPr>
        <w:t xml:space="preserve"> software (</w:t>
      </w:r>
      <w:proofErr w:type="spellStart"/>
      <w:r w:rsidRPr="00E9352F">
        <w:rPr>
          <w:rFonts w:ascii="Arial" w:hAnsi="Arial" w:cs="Arial"/>
          <w:lang w:val="en-US"/>
        </w:rPr>
        <w:t>Nutritics</w:t>
      </w:r>
      <w:proofErr w:type="spellEnd"/>
      <w:r w:rsidRPr="00E9352F">
        <w:rPr>
          <w:rFonts w:ascii="Arial" w:hAnsi="Arial" w:cs="Arial"/>
          <w:lang w:val="en-US"/>
        </w:rPr>
        <w:t xml:space="preserve"> Ltd., Dublin, Ireland).</w:t>
      </w:r>
    </w:p>
    <w:p w14:paraId="2B5F9577" w14:textId="77777777" w:rsidR="009D2A15" w:rsidRPr="00E9352F" w:rsidRDefault="009D2A15" w:rsidP="00E9352F">
      <w:pPr>
        <w:jc w:val="both"/>
        <w:rPr>
          <w:rFonts w:ascii="Arial" w:hAnsi="Arial" w:cs="Arial"/>
        </w:rPr>
      </w:pPr>
    </w:p>
    <w:p w14:paraId="0CF5BFBD" w14:textId="77777777" w:rsidR="009D2A15" w:rsidRPr="00E9352F" w:rsidRDefault="009D2A15" w:rsidP="00E9352F">
      <w:pPr>
        <w:jc w:val="both"/>
        <w:rPr>
          <w:rFonts w:ascii="Arial" w:hAnsi="Arial" w:cs="Arial"/>
          <w:b/>
        </w:rPr>
      </w:pPr>
      <w:r w:rsidRPr="00E9352F">
        <w:rPr>
          <w:rFonts w:ascii="Arial" w:hAnsi="Arial" w:cs="Arial"/>
          <w:b/>
        </w:rPr>
        <w:t>Menstrual cycle status and oral contraceptive use</w:t>
      </w:r>
    </w:p>
    <w:p w14:paraId="4AC97067" w14:textId="77777777" w:rsidR="009D2A15" w:rsidRDefault="00E9352F" w:rsidP="00E9352F">
      <w:pPr>
        <w:jc w:val="both"/>
        <w:rPr>
          <w:rFonts w:ascii="Arial" w:hAnsi="Arial" w:cs="Arial"/>
        </w:rPr>
      </w:pPr>
      <w:r w:rsidRPr="00E9352F">
        <w:rPr>
          <w:rFonts w:ascii="Arial" w:hAnsi="Arial" w:cs="Arial"/>
        </w:rPr>
        <w:t>The menstrual cycle was divided into two broad phases: the follicular and the luteal phase, which were determined by a progesterone concentration of &lt; and ≥ 5 nmol/L, respectively (</w:t>
      </w:r>
      <w:proofErr w:type="spellStart"/>
      <w:r w:rsidRPr="00E9352F">
        <w:rPr>
          <w:rFonts w:ascii="Arial" w:hAnsi="Arial" w:cs="Arial"/>
        </w:rPr>
        <w:t>Oosthuyse</w:t>
      </w:r>
      <w:proofErr w:type="spellEnd"/>
      <w:r w:rsidRPr="00E9352F">
        <w:rPr>
          <w:rFonts w:ascii="Arial" w:hAnsi="Arial" w:cs="Arial"/>
        </w:rPr>
        <w:t xml:space="preserve">, Bosch, &amp; Jackson, 2005). </w:t>
      </w:r>
      <w:r>
        <w:rPr>
          <w:rFonts w:ascii="Arial" w:hAnsi="Arial" w:cs="Arial"/>
        </w:rPr>
        <w:t>Participants who were using any form of contraception were categorised into one group:  c</w:t>
      </w:r>
      <w:r w:rsidRPr="00E9352F">
        <w:rPr>
          <w:rFonts w:ascii="Arial" w:hAnsi="Arial" w:cs="Arial"/>
        </w:rPr>
        <w:t>ontraceptive</w:t>
      </w:r>
      <w:r>
        <w:rPr>
          <w:rFonts w:ascii="Arial" w:hAnsi="Arial" w:cs="Arial"/>
        </w:rPr>
        <w:t xml:space="preserve"> use.</w:t>
      </w:r>
    </w:p>
    <w:p w14:paraId="2CEA08D8" w14:textId="77777777" w:rsidR="007978EE" w:rsidRDefault="007978EE" w:rsidP="00E9352F">
      <w:pPr>
        <w:jc w:val="both"/>
        <w:rPr>
          <w:rFonts w:ascii="Arial" w:hAnsi="Arial" w:cs="Arial"/>
        </w:rPr>
      </w:pPr>
    </w:p>
    <w:p w14:paraId="29620FC0" w14:textId="77777777" w:rsidR="007978EE" w:rsidRDefault="007978EE" w:rsidP="00E9352F">
      <w:pPr>
        <w:jc w:val="both"/>
        <w:rPr>
          <w:rFonts w:ascii="Arial" w:hAnsi="Arial" w:cs="Arial"/>
          <w:b/>
        </w:rPr>
      </w:pPr>
      <w:r>
        <w:rPr>
          <w:rFonts w:ascii="Arial" w:hAnsi="Arial" w:cs="Arial"/>
          <w:b/>
        </w:rPr>
        <w:t>Blood sample and analysis</w:t>
      </w:r>
    </w:p>
    <w:p w14:paraId="0B723C56" w14:textId="001305F9" w:rsidR="00321624" w:rsidRPr="003A7F7F" w:rsidRDefault="00321624" w:rsidP="00321624">
      <w:pPr>
        <w:jc w:val="both"/>
        <w:rPr>
          <w:rFonts w:ascii="Arial" w:hAnsi="Arial" w:cs="Arial"/>
        </w:rPr>
      </w:pPr>
      <w:r>
        <w:rPr>
          <w:rFonts w:ascii="Arial" w:hAnsi="Arial" w:cs="Arial"/>
        </w:rPr>
        <w:t xml:space="preserve">A </w:t>
      </w:r>
      <w:r w:rsidRPr="007978EE">
        <w:rPr>
          <w:rFonts w:ascii="Arial" w:hAnsi="Arial" w:cs="Arial"/>
        </w:rPr>
        <w:t xml:space="preserve">10 mL whole </w:t>
      </w:r>
      <w:r>
        <w:rPr>
          <w:rFonts w:ascii="Arial" w:hAnsi="Arial" w:cs="Arial"/>
        </w:rPr>
        <w:t xml:space="preserve">venous </w:t>
      </w:r>
      <w:r w:rsidRPr="007978EE">
        <w:rPr>
          <w:rFonts w:ascii="Arial" w:hAnsi="Arial" w:cs="Arial"/>
        </w:rPr>
        <w:t xml:space="preserve">blood </w:t>
      </w:r>
      <w:r>
        <w:rPr>
          <w:rFonts w:ascii="Arial" w:hAnsi="Arial" w:cs="Arial"/>
        </w:rPr>
        <w:t>s</w:t>
      </w:r>
      <w:r w:rsidRPr="007978EE">
        <w:rPr>
          <w:rFonts w:ascii="Arial" w:hAnsi="Arial" w:cs="Arial"/>
        </w:rPr>
        <w:t>ample was obtained from an antecubital vein (BD Vacutainer Safety Lok, BD, USA)</w:t>
      </w:r>
      <w:r>
        <w:rPr>
          <w:rFonts w:ascii="Arial" w:hAnsi="Arial" w:cs="Arial"/>
        </w:rPr>
        <w:t xml:space="preserve">. Plasma samples were obtained by dispensing blood samples into </w:t>
      </w:r>
      <w:r w:rsidRPr="007978EE">
        <w:rPr>
          <w:rFonts w:ascii="Arial" w:hAnsi="Arial" w:cs="Arial"/>
        </w:rPr>
        <w:t xml:space="preserve">an ethylenediaminetetraacetic acid-coated tube (K3 EDTA, </w:t>
      </w:r>
      <w:proofErr w:type="spellStart"/>
      <w:r w:rsidRPr="007978EE">
        <w:rPr>
          <w:rFonts w:ascii="Arial" w:hAnsi="Arial" w:cs="Arial"/>
        </w:rPr>
        <w:t>Sarstedt</w:t>
      </w:r>
      <w:proofErr w:type="spellEnd"/>
      <w:r w:rsidRPr="007978EE">
        <w:rPr>
          <w:rFonts w:ascii="Arial" w:hAnsi="Arial" w:cs="Arial"/>
        </w:rPr>
        <w:t xml:space="preserve">, Germany) </w:t>
      </w:r>
      <w:r>
        <w:rPr>
          <w:rFonts w:ascii="Arial" w:hAnsi="Arial" w:cs="Arial"/>
        </w:rPr>
        <w:t xml:space="preserve">which were </w:t>
      </w:r>
      <w:r w:rsidRPr="007978EE">
        <w:rPr>
          <w:rFonts w:ascii="Arial" w:hAnsi="Arial" w:cs="Arial"/>
        </w:rPr>
        <w:t>immediately centrifuged (1700 g for 15 min at 4°C</w:t>
      </w:r>
      <w:r>
        <w:rPr>
          <w:rFonts w:ascii="Arial" w:hAnsi="Arial" w:cs="Arial"/>
        </w:rPr>
        <w:t xml:space="preserve">; </w:t>
      </w:r>
      <w:r w:rsidRPr="007978EE">
        <w:rPr>
          <w:rFonts w:ascii="Arial" w:hAnsi="Arial" w:cs="Arial"/>
        </w:rPr>
        <w:t xml:space="preserve">Heraeus </w:t>
      </w:r>
      <w:proofErr w:type="spellStart"/>
      <w:r w:rsidRPr="007978EE">
        <w:rPr>
          <w:rFonts w:ascii="Arial" w:hAnsi="Arial" w:cs="Arial"/>
        </w:rPr>
        <w:t>Biofuge</w:t>
      </w:r>
      <w:proofErr w:type="spellEnd"/>
      <w:r w:rsidRPr="007978EE">
        <w:rPr>
          <w:rFonts w:ascii="Arial" w:hAnsi="Arial" w:cs="Arial"/>
        </w:rPr>
        <w:t xml:space="preserve"> Primo R, </w:t>
      </w:r>
      <w:proofErr w:type="spellStart"/>
      <w:r w:rsidRPr="007978EE">
        <w:rPr>
          <w:rFonts w:ascii="Arial" w:hAnsi="Arial" w:cs="Arial"/>
        </w:rPr>
        <w:t>Kendro</w:t>
      </w:r>
      <w:proofErr w:type="spellEnd"/>
      <w:r w:rsidRPr="007978EE">
        <w:rPr>
          <w:rFonts w:ascii="Arial" w:hAnsi="Arial" w:cs="Arial"/>
        </w:rPr>
        <w:t xml:space="preserve"> Laboratory Products Plc., UK).</w:t>
      </w:r>
      <w:r>
        <w:rPr>
          <w:rFonts w:ascii="Arial" w:hAnsi="Arial" w:cs="Arial"/>
        </w:rPr>
        <w:t xml:space="preserve"> Plasma samples were then extracted into </w:t>
      </w:r>
      <w:r w:rsidRPr="007978EE">
        <w:rPr>
          <w:rFonts w:ascii="Arial" w:hAnsi="Arial" w:cs="Arial"/>
        </w:rPr>
        <w:t xml:space="preserve">0.5 mL aliquots and immediately </w:t>
      </w:r>
      <w:r w:rsidRPr="003A7F7F">
        <w:rPr>
          <w:rFonts w:ascii="Arial" w:hAnsi="Arial" w:cs="Arial"/>
        </w:rPr>
        <w:t>frozen at -20°C, before longer-term storage at -80</w:t>
      </w:r>
      <w:r w:rsidRPr="003A7F7F">
        <w:rPr>
          <w:rFonts w:ascii="Arial" w:hAnsi="Arial" w:cs="Arial"/>
          <w:vertAlign w:val="superscript"/>
        </w:rPr>
        <w:t>o</w:t>
      </w:r>
      <w:r w:rsidRPr="003A7F7F">
        <w:rPr>
          <w:rFonts w:ascii="Arial" w:hAnsi="Arial" w:cs="Arial"/>
        </w:rPr>
        <w:t>C for later batch analysis. The plasma samples were analysed for concentrations of various metabolites and hormones according to manufacturer instructions. Total plasma non-esterified fatty acids (NEFA; Cat No: FA115), glucose (Cat No:GL3815), lactate (Cat No: LC3980) and triglycerides (Cat No: TR3823) concentrations were run in singular on a Daytona Rx Series (</w:t>
      </w:r>
      <w:proofErr w:type="spellStart"/>
      <w:r w:rsidRPr="003A7F7F">
        <w:rPr>
          <w:rFonts w:ascii="Arial" w:hAnsi="Arial" w:cs="Arial"/>
        </w:rPr>
        <w:t>Randox</w:t>
      </w:r>
      <w:proofErr w:type="spellEnd"/>
      <w:r w:rsidRPr="003A7F7F">
        <w:rPr>
          <w:rFonts w:ascii="Arial" w:hAnsi="Arial" w:cs="Arial"/>
        </w:rPr>
        <w:t xml:space="preserve"> Laboratories, Crumlin, NI). Total 17β-oestradiol (</w:t>
      </w:r>
      <w:proofErr w:type="spellStart"/>
      <w:r w:rsidRPr="003A7F7F">
        <w:rPr>
          <w:rFonts w:ascii="Arial" w:hAnsi="Arial" w:cs="Arial"/>
        </w:rPr>
        <w:t>Elecsys</w:t>
      </w:r>
      <w:proofErr w:type="spellEnd"/>
      <w:r w:rsidRPr="003A7F7F">
        <w:rPr>
          <w:rFonts w:ascii="Arial" w:hAnsi="Arial" w:cs="Arial"/>
        </w:rPr>
        <w:t xml:space="preserve"> </w:t>
      </w:r>
      <w:proofErr w:type="spellStart"/>
      <w:r w:rsidRPr="003A7F7F">
        <w:rPr>
          <w:rFonts w:ascii="Arial" w:hAnsi="Arial" w:cs="Arial"/>
        </w:rPr>
        <w:t>Estradiol</w:t>
      </w:r>
      <w:proofErr w:type="spellEnd"/>
      <w:r w:rsidRPr="003A7F7F">
        <w:rPr>
          <w:rFonts w:ascii="Arial" w:hAnsi="Arial" w:cs="Arial"/>
        </w:rPr>
        <w:t xml:space="preserve"> III) and progesterone (Progesterone III</w:t>
      </w:r>
      <w:r>
        <w:rPr>
          <w:rFonts w:ascii="Arial" w:hAnsi="Arial" w:cs="Arial"/>
        </w:rPr>
        <w:t xml:space="preserve">) </w:t>
      </w:r>
      <w:r w:rsidRPr="003A7F7F">
        <w:rPr>
          <w:rFonts w:ascii="Arial" w:hAnsi="Arial" w:cs="Arial"/>
        </w:rPr>
        <w:t xml:space="preserve">concentrations were run in singular on a </w:t>
      </w:r>
      <w:proofErr w:type="spellStart"/>
      <w:r w:rsidRPr="003A7F7F">
        <w:rPr>
          <w:rFonts w:ascii="Arial" w:hAnsi="Arial" w:cs="Arial"/>
        </w:rPr>
        <w:t>Cobas</w:t>
      </w:r>
      <w:proofErr w:type="spellEnd"/>
      <w:r w:rsidRPr="003A7F7F">
        <w:rPr>
          <w:rFonts w:ascii="Arial" w:hAnsi="Arial" w:cs="Arial"/>
        </w:rPr>
        <w:t xml:space="preserve"> 8000 (Modular analytics </w:t>
      </w:r>
      <w:proofErr w:type="spellStart"/>
      <w:r w:rsidRPr="003A7F7F">
        <w:rPr>
          <w:rFonts w:ascii="Arial" w:hAnsi="Arial" w:cs="Arial"/>
        </w:rPr>
        <w:t>Cobas</w:t>
      </w:r>
      <w:proofErr w:type="spellEnd"/>
      <w:r w:rsidRPr="003A7F7F">
        <w:rPr>
          <w:rFonts w:ascii="Arial" w:hAnsi="Arial" w:cs="Arial"/>
        </w:rPr>
        <w:t xml:space="preserve"> e 602, Roche Diagnostics, </w:t>
      </w:r>
      <w:proofErr w:type="spellStart"/>
      <w:r w:rsidRPr="003A7F7F">
        <w:rPr>
          <w:rFonts w:ascii="Arial" w:hAnsi="Arial" w:cs="Arial"/>
        </w:rPr>
        <w:t>Rotkreuz</w:t>
      </w:r>
      <w:proofErr w:type="spellEnd"/>
      <w:r w:rsidRPr="003A7F7F">
        <w:rPr>
          <w:rFonts w:ascii="Arial" w:hAnsi="Arial" w:cs="Arial"/>
        </w:rPr>
        <w:t xml:space="preserve">, Switzerland). Total plasma insulin concentrations were analysed by an enzyme-linked immunosorbent assay (ELISA) kit in duplicate (Cat No: 900095, </w:t>
      </w:r>
      <w:proofErr w:type="spellStart"/>
      <w:r w:rsidRPr="003A7F7F">
        <w:rPr>
          <w:rFonts w:ascii="Arial" w:hAnsi="Arial" w:cs="Arial"/>
        </w:rPr>
        <w:t>Cyrstal</w:t>
      </w:r>
      <w:proofErr w:type="spellEnd"/>
      <w:r w:rsidRPr="003A7F7F">
        <w:rPr>
          <w:rFonts w:ascii="Arial" w:hAnsi="Arial" w:cs="Arial"/>
        </w:rPr>
        <w:t xml:space="preserve"> Chem, Illinois, USA) with absorption determined by a microplate reader (</w:t>
      </w:r>
      <w:proofErr w:type="spellStart"/>
      <w:r w:rsidRPr="003A7F7F">
        <w:rPr>
          <w:rFonts w:ascii="Arial" w:hAnsi="Arial" w:cs="Arial"/>
        </w:rPr>
        <w:t>SPECTROstar</w:t>
      </w:r>
      <w:proofErr w:type="spellEnd"/>
      <w:r w:rsidRPr="003A7F7F">
        <w:rPr>
          <w:rFonts w:ascii="Arial" w:hAnsi="Arial" w:cs="Arial"/>
        </w:rPr>
        <w:t xml:space="preserve"> Nano, BMG LABTECH, </w:t>
      </w:r>
      <w:proofErr w:type="spellStart"/>
      <w:r w:rsidRPr="003A7F7F">
        <w:rPr>
          <w:rFonts w:ascii="Arial" w:hAnsi="Arial" w:cs="Arial"/>
        </w:rPr>
        <w:t>Ortenberg</w:t>
      </w:r>
      <w:proofErr w:type="spellEnd"/>
      <w:r w:rsidRPr="003A7F7F">
        <w:rPr>
          <w:rFonts w:ascii="Arial" w:hAnsi="Arial" w:cs="Arial"/>
        </w:rPr>
        <w:t>, Germany) at wavelengths specified by the manufacturer</w:t>
      </w:r>
      <w:r>
        <w:rPr>
          <w:rFonts w:ascii="Arial" w:hAnsi="Arial" w:cs="Arial"/>
        </w:rPr>
        <w:t>.</w:t>
      </w:r>
    </w:p>
    <w:p w14:paraId="38E1D411" w14:textId="77777777" w:rsidR="00FA364C" w:rsidRDefault="00FA364C" w:rsidP="00E9352F">
      <w:pPr>
        <w:jc w:val="both"/>
        <w:rPr>
          <w:rFonts w:ascii="Arial" w:hAnsi="Arial" w:cs="Arial"/>
        </w:rPr>
      </w:pPr>
    </w:p>
    <w:p w14:paraId="4A915855" w14:textId="77777777" w:rsidR="00FA364C" w:rsidRPr="00FA364C" w:rsidRDefault="00FA364C" w:rsidP="00E9352F">
      <w:pPr>
        <w:jc w:val="both"/>
        <w:rPr>
          <w:rFonts w:ascii="Arial" w:hAnsi="Arial" w:cs="Arial"/>
          <w:b/>
        </w:rPr>
      </w:pPr>
      <w:r w:rsidRPr="00777DEE">
        <w:rPr>
          <w:rFonts w:ascii="Arial" w:hAnsi="Arial" w:cs="Arial"/>
          <w:b/>
        </w:rPr>
        <w:t>Biopsies</w:t>
      </w:r>
    </w:p>
    <w:p w14:paraId="41581FD1" w14:textId="77777777" w:rsidR="009D2A15" w:rsidRDefault="008C3801" w:rsidP="00E9352F">
      <w:pPr>
        <w:jc w:val="both"/>
        <w:rPr>
          <w:rFonts w:ascii="Arial" w:hAnsi="Arial" w:cs="Arial"/>
          <w:lang w:val="en-US"/>
        </w:rPr>
      </w:pPr>
      <w:r>
        <w:rPr>
          <w:rFonts w:ascii="Arial" w:hAnsi="Arial" w:cs="Arial"/>
          <w:lang w:val="en-US"/>
        </w:rPr>
        <w:t>The opt-in</w:t>
      </w:r>
      <w:r w:rsidRPr="008C3801">
        <w:rPr>
          <w:rFonts w:ascii="Arial" w:hAnsi="Arial" w:cs="Arial"/>
          <w:lang w:val="en-US"/>
        </w:rPr>
        <w:t xml:space="preserve"> skeletal muscle tissue biopsy was obtained from the </w:t>
      </w:r>
      <w:r w:rsidRPr="008C3801">
        <w:rPr>
          <w:rFonts w:ascii="Arial" w:hAnsi="Arial" w:cs="Arial"/>
          <w:i/>
          <w:lang w:val="en-US"/>
        </w:rPr>
        <w:t>vastus lateralis</w:t>
      </w:r>
      <w:r w:rsidRPr="008C3801">
        <w:rPr>
          <w:rFonts w:ascii="Arial" w:hAnsi="Arial" w:cs="Arial"/>
          <w:lang w:val="en-US"/>
        </w:rPr>
        <w:t xml:space="preserve"> </w:t>
      </w:r>
      <w:r>
        <w:rPr>
          <w:rFonts w:ascii="Arial" w:hAnsi="Arial" w:cs="Arial"/>
          <w:lang w:val="en-US"/>
        </w:rPr>
        <w:t xml:space="preserve">of the participant’s self-reported dominant leg </w:t>
      </w:r>
      <w:r w:rsidRPr="008C3801">
        <w:rPr>
          <w:rFonts w:ascii="Arial" w:hAnsi="Arial" w:cs="Arial"/>
          <w:lang w:val="en-US"/>
        </w:rPr>
        <w:t>via the suction-assisted ‘Bergstrom percutaneous needle’ biopsy technique</w:t>
      </w:r>
      <w:r>
        <w:rPr>
          <w:rFonts w:ascii="Arial" w:hAnsi="Arial" w:cs="Arial"/>
          <w:lang w:val="en-US"/>
        </w:rPr>
        <w:t xml:space="preserve">. The adipose tissue biopsy was </w:t>
      </w:r>
      <w:r w:rsidRPr="008C3801">
        <w:rPr>
          <w:rFonts w:ascii="Arial" w:hAnsi="Arial" w:cs="Arial"/>
          <w:lang w:val="en-US"/>
        </w:rPr>
        <w:t xml:space="preserve">obtained from the subcutaneous abdominal wall region (approximately 5 cm </w:t>
      </w:r>
      <w:r>
        <w:rPr>
          <w:rFonts w:ascii="Arial" w:hAnsi="Arial" w:cs="Arial"/>
          <w:lang w:val="en-US"/>
        </w:rPr>
        <w:t xml:space="preserve">left </w:t>
      </w:r>
      <w:r w:rsidRPr="008C3801">
        <w:rPr>
          <w:rFonts w:ascii="Arial" w:hAnsi="Arial" w:cs="Arial"/>
          <w:lang w:val="en-US"/>
        </w:rPr>
        <w:t>lateral from the umbilicus) using the ‘needle aspiration’ technique.</w:t>
      </w:r>
      <w:r>
        <w:rPr>
          <w:rFonts w:ascii="Arial" w:hAnsi="Arial" w:cs="Arial"/>
          <w:lang w:val="en-US"/>
        </w:rPr>
        <w:t xml:space="preserve"> Western blotting was performed on both skeletal muscle and adipose tissue samples to semi-quantitatively assess the content of several proteins involved in lipid metabolism. </w:t>
      </w:r>
      <w:r w:rsidRPr="008C3801">
        <w:rPr>
          <w:rFonts w:ascii="Arial" w:hAnsi="Arial" w:cs="Arial"/>
          <w:lang w:val="en-US"/>
        </w:rPr>
        <w:t xml:space="preserve">The primary antibodies used for western blotting on skeletal muscle and/or adipose tissue were: adipose triglyceride lipase (ATGL, ab109251, </w:t>
      </w:r>
      <w:proofErr w:type="spellStart"/>
      <w:r w:rsidRPr="008C3801">
        <w:rPr>
          <w:rFonts w:ascii="Arial" w:hAnsi="Arial" w:cs="Arial"/>
          <w:lang w:val="en-US"/>
        </w:rPr>
        <w:t>abcam</w:t>
      </w:r>
      <w:proofErr w:type="spellEnd"/>
      <w:r w:rsidRPr="008C3801">
        <w:rPr>
          <w:rFonts w:ascii="Arial" w:hAnsi="Arial" w:cs="Arial"/>
          <w:lang w:val="en-US"/>
        </w:rPr>
        <w:t>), fatty acid binding protein plasma membrane [</w:t>
      </w:r>
      <w:proofErr w:type="spellStart"/>
      <w:r w:rsidRPr="008C3801">
        <w:rPr>
          <w:rFonts w:ascii="Arial" w:hAnsi="Arial" w:cs="Arial"/>
          <w:lang w:val="en-US"/>
        </w:rPr>
        <w:t>FABPpm</w:t>
      </w:r>
      <w:proofErr w:type="spellEnd"/>
      <w:r w:rsidRPr="008C3801">
        <w:rPr>
          <w:rFonts w:ascii="Arial" w:hAnsi="Arial" w:cs="Arial"/>
          <w:lang w:val="en-US"/>
        </w:rPr>
        <w:t xml:space="preserve">; glutamic-oxaloacetic transaminase 2 (GOT2), ab180162, </w:t>
      </w:r>
      <w:proofErr w:type="spellStart"/>
      <w:r w:rsidRPr="008C3801">
        <w:rPr>
          <w:rFonts w:ascii="Arial" w:hAnsi="Arial" w:cs="Arial"/>
          <w:lang w:val="en-US"/>
        </w:rPr>
        <w:t>abcam</w:t>
      </w:r>
      <w:proofErr w:type="spellEnd"/>
      <w:r w:rsidRPr="008C3801">
        <w:rPr>
          <w:rFonts w:ascii="Arial" w:hAnsi="Arial" w:cs="Arial"/>
          <w:lang w:val="en-US"/>
        </w:rPr>
        <w:t xml:space="preserve">], </w:t>
      </w:r>
      <w:proofErr w:type="spellStart"/>
      <w:r w:rsidRPr="008C3801">
        <w:rPr>
          <w:rFonts w:ascii="Arial" w:hAnsi="Arial" w:cs="Arial"/>
          <w:lang w:val="en-US"/>
        </w:rPr>
        <w:t>oestrogen</w:t>
      </w:r>
      <w:proofErr w:type="spellEnd"/>
      <w:r w:rsidRPr="008C3801">
        <w:rPr>
          <w:rFonts w:ascii="Arial" w:hAnsi="Arial" w:cs="Arial"/>
          <w:lang w:val="en-US"/>
        </w:rPr>
        <w:t xml:space="preserve"> receptor alpha (ERα, ab75635, </w:t>
      </w:r>
      <w:proofErr w:type="spellStart"/>
      <w:r w:rsidRPr="008C3801">
        <w:rPr>
          <w:rFonts w:ascii="Arial" w:hAnsi="Arial" w:cs="Arial"/>
          <w:lang w:val="en-US"/>
        </w:rPr>
        <w:t>abcam</w:t>
      </w:r>
      <w:proofErr w:type="spellEnd"/>
      <w:r w:rsidRPr="008C3801">
        <w:rPr>
          <w:rFonts w:ascii="Arial" w:hAnsi="Arial" w:cs="Arial"/>
          <w:lang w:val="en-US"/>
        </w:rPr>
        <w:t xml:space="preserve">), long chain acyl-CoA synthase 1 (ACSL1, ab76702, </w:t>
      </w:r>
      <w:proofErr w:type="spellStart"/>
      <w:r w:rsidRPr="008C3801">
        <w:rPr>
          <w:rFonts w:ascii="Arial" w:hAnsi="Arial" w:cs="Arial"/>
          <w:lang w:val="en-US"/>
        </w:rPr>
        <w:t>abcam</w:t>
      </w:r>
      <w:proofErr w:type="spellEnd"/>
      <w:r w:rsidRPr="008C3801">
        <w:rPr>
          <w:rFonts w:ascii="Arial" w:hAnsi="Arial" w:cs="Arial"/>
          <w:lang w:val="en-US"/>
        </w:rPr>
        <w:t xml:space="preserve">), carnitine </w:t>
      </w:r>
      <w:proofErr w:type="spellStart"/>
      <w:r w:rsidRPr="008C3801">
        <w:rPr>
          <w:rFonts w:ascii="Arial" w:hAnsi="Arial" w:cs="Arial"/>
          <w:lang w:val="en-US"/>
        </w:rPr>
        <w:t>palmitoyltransferase</w:t>
      </w:r>
      <w:proofErr w:type="spellEnd"/>
      <w:r w:rsidRPr="008C3801">
        <w:rPr>
          <w:rFonts w:ascii="Arial" w:hAnsi="Arial" w:cs="Arial"/>
          <w:lang w:val="en-US"/>
        </w:rPr>
        <w:t xml:space="preserve"> 1B (CPT1B, ab134988, </w:t>
      </w:r>
      <w:proofErr w:type="spellStart"/>
      <w:r w:rsidRPr="008C3801">
        <w:rPr>
          <w:rFonts w:ascii="Arial" w:hAnsi="Arial" w:cs="Arial"/>
          <w:lang w:val="en-US"/>
        </w:rPr>
        <w:t>abcam</w:t>
      </w:r>
      <w:proofErr w:type="spellEnd"/>
      <w:r w:rsidRPr="008C3801">
        <w:rPr>
          <w:rFonts w:ascii="Arial" w:hAnsi="Arial" w:cs="Arial"/>
          <w:lang w:val="en-US"/>
        </w:rPr>
        <w:t xml:space="preserve">), hormone sensitive lipase (HSL, 4107, Cell </w:t>
      </w:r>
      <w:proofErr w:type="spellStart"/>
      <w:r w:rsidRPr="008C3801">
        <w:rPr>
          <w:rFonts w:ascii="Arial" w:hAnsi="Arial" w:cs="Arial"/>
          <w:lang w:val="en-US"/>
        </w:rPr>
        <w:t>Signalling</w:t>
      </w:r>
      <w:proofErr w:type="spellEnd"/>
      <w:r w:rsidRPr="008C3801">
        <w:rPr>
          <w:rFonts w:ascii="Arial" w:hAnsi="Arial" w:cs="Arial"/>
          <w:lang w:val="en-US"/>
        </w:rPr>
        <w:t xml:space="preserve"> Technology) and actin (A2066, Sigma-Aldrich). The primary antibodies were diluted in TBS-T with 1 % BSA in a ~1:1000 for PLIN1, CGI-58, ATGL, </w:t>
      </w:r>
      <w:proofErr w:type="spellStart"/>
      <w:r w:rsidRPr="008C3801">
        <w:rPr>
          <w:rFonts w:ascii="Arial" w:hAnsi="Arial" w:cs="Arial"/>
          <w:lang w:val="en-US"/>
        </w:rPr>
        <w:t>FABPpm</w:t>
      </w:r>
      <w:proofErr w:type="spellEnd"/>
      <w:r w:rsidRPr="008C3801">
        <w:rPr>
          <w:rFonts w:ascii="Arial" w:hAnsi="Arial" w:cs="Arial"/>
          <w:lang w:val="en-US"/>
        </w:rPr>
        <w:t>, ACSL1, CPT1b, HSL and actin, and ~1:300 for ERα.</w:t>
      </w:r>
      <w:r w:rsidR="000F644E">
        <w:rPr>
          <w:rFonts w:ascii="Arial" w:hAnsi="Arial" w:cs="Arial"/>
          <w:lang w:val="en-US"/>
        </w:rPr>
        <w:t xml:space="preserve"> </w:t>
      </w:r>
      <w:r w:rsidR="000F644E" w:rsidRPr="000F644E">
        <w:rPr>
          <w:rFonts w:ascii="Arial" w:hAnsi="Arial" w:cs="Arial"/>
          <w:lang w:val="en-US"/>
        </w:rPr>
        <w:t xml:space="preserve">Protein content data was expressed relative to each participant’s actin after </w:t>
      </w:r>
      <w:proofErr w:type="spellStart"/>
      <w:r w:rsidR="000F644E" w:rsidRPr="000F644E">
        <w:rPr>
          <w:rFonts w:ascii="Arial" w:hAnsi="Arial" w:cs="Arial"/>
          <w:lang w:val="en-US"/>
        </w:rPr>
        <w:t>normalising</w:t>
      </w:r>
      <w:proofErr w:type="spellEnd"/>
      <w:r w:rsidR="000F644E" w:rsidRPr="000F644E">
        <w:rPr>
          <w:rFonts w:ascii="Arial" w:hAnsi="Arial" w:cs="Arial"/>
          <w:lang w:val="en-US"/>
        </w:rPr>
        <w:t xml:space="preserve"> their actin to the actin of the duplicate sample ran. This was performed for all protein </w:t>
      </w:r>
      <w:r w:rsidR="000F644E" w:rsidRPr="000F644E">
        <w:rPr>
          <w:rFonts w:ascii="Arial" w:hAnsi="Arial" w:cs="Arial"/>
          <w:lang w:val="en-US"/>
        </w:rPr>
        <w:lastRenderedPageBreak/>
        <w:t>contents except for skeletal muscle CPT1b and ATGL, which due to their being no duplicate ran, data was expressed relative to actin of one sample.</w:t>
      </w:r>
    </w:p>
    <w:p w14:paraId="6CC97DD3" w14:textId="77777777" w:rsidR="006A10C5" w:rsidRDefault="006A10C5" w:rsidP="00E9352F">
      <w:pPr>
        <w:jc w:val="both"/>
        <w:rPr>
          <w:rFonts w:ascii="Arial" w:hAnsi="Arial" w:cs="Arial"/>
          <w:lang w:val="en-US"/>
        </w:rPr>
      </w:pPr>
    </w:p>
    <w:p w14:paraId="08ECECE2" w14:textId="77777777" w:rsidR="006A10C5" w:rsidRDefault="006A10C5" w:rsidP="00E9352F">
      <w:pPr>
        <w:jc w:val="both"/>
        <w:rPr>
          <w:rFonts w:ascii="Arial" w:hAnsi="Arial" w:cs="Arial"/>
          <w:lang w:val="en-US"/>
        </w:rPr>
      </w:pPr>
      <w:r>
        <w:rPr>
          <w:rFonts w:ascii="Arial" w:hAnsi="Arial" w:cs="Arial"/>
          <w:lang w:val="en-US"/>
        </w:rPr>
        <w:t xml:space="preserve">If enough sample was obtained, adipose tissue was also partitioned to assess </w:t>
      </w:r>
      <w:r>
        <w:rPr>
          <w:rFonts w:ascii="Arial" w:hAnsi="Arial" w:cs="Arial"/>
          <w:i/>
          <w:lang w:val="en-US"/>
        </w:rPr>
        <w:t>ex</w:t>
      </w:r>
      <w:r>
        <w:rPr>
          <w:rFonts w:ascii="Arial" w:hAnsi="Arial" w:cs="Arial"/>
          <w:lang w:val="en-US"/>
        </w:rPr>
        <w:t>-</w:t>
      </w:r>
      <w:r>
        <w:rPr>
          <w:rFonts w:ascii="Arial" w:hAnsi="Arial" w:cs="Arial"/>
          <w:i/>
          <w:lang w:val="en-US"/>
        </w:rPr>
        <w:t xml:space="preserve">vivo </w:t>
      </w:r>
      <w:r>
        <w:rPr>
          <w:rFonts w:ascii="Arial" w:hAnsi="Arial" w:cs="Arial"/>
          <w:lang w:val="en-US"/>
        </w:rPr>
        <w:t>basal adipose tissue lipolysis rates. Here ~ 50 mg of adipose tissue explant was transferred into 3 x cell culture wells and a</w:t>
      </w:r>
      <w:r w:rsidRPr="006A10C5">
        <w:rPr>
          <w:rFonts w:ascii="Arial" w:hAnsi="Arial" w:cs="Arial"/>
          <w:lang w:val="en-US"/>
        </w:rPr>
        <w:t>n</w:t>
      </w:r>
      <w:r w:rsidR="00777DEE">
        <w:rPr>
          <w:rFonts w:ascii="Arial" w:hAnsi="Arial" w:cs="Arial"/>
          <w:lang w:val="en-US"/>
        </w:rPr>
        <w:t xml:space="preserve"> e</w:t>
      </w:r>
      <w:r w:rsidRPr="006A10C5">
        <w:rPr>
          <w:rFonts w:ascii="Arial" w:hAnsi="Arial" w:cs="Arial"/>
          <w:lang w:val="en-US"/>
        </w:rPr>
        <w:t xml:space="preserve">ndothelial cell </w:t>
      </w:r>
      <w:r w:rsidR="00777DEE">
        <w:rPr>
          <w:rFonts w:ascii="Arial" w:hAnsi="Arial" w:cs="Arial"/>
          <w:lang w:val="en-US"/>
        </w:rPr>
        <w:t>b</w:t>
      </w:r>
      <w:r w:rsidRPr="006A10C5">
        <w:rPr>
          <w:rFonts w:ascii="Arial" w:hAnsi="Arial" w:cs="Arial"/>
          <w:lang w:val="en-US"/>
        </w:rPr>
        <w:t xml:space="preserve">asal media (ECMB: </w:t>
      </w:r>
      <w:proofErr w:type="spellStart"/>
      <w:r w:rsidRPr="006A10C5">
        <w:rPr>
          <w:rFonts w:ascii="Arial" w:hAnsi="Arial" w:cs="Arial"/>
          <w:lang w:val="en-US"/>
        </w:rPr>
        <w:t>Promocell</w:t>
      </w:r>
      <w:proofErr w:type="spellEnd"/>
      <w:r w:rsidRPr="006A10C5">
        <w:rPr>
          <w:rFonts w:ascii="Arial" w:hAnsi="Arial" w:cs="Arial"/>
          <w:lang w:val="en-US"/>
        </w:rPr>
        <w:t xml:space="preserve">, Germany) supplemented with 0.1 % fatty acid free BSA and 1000 units·mL-1 penicillin and 0.1 mg·mL-1 streptomycin (Sigma </w:t>
      </w:r>
      <w:proofErr w:type="spellStart"/>
      <w:r w:rsidRPr="006A10C5">
        <w:rPr>
          <w:rFonts w:ascii="Arial" w:hAnsi="Arial" w:cs="Arial"/>
          <w:lang w:val="en-US"/>
        </w:rPr>
        <w:t>Aldritch</w:t>
      </w:r>
      <w:proofErr w:type="spellEnd"/>
      <w:r w:rsidRPr="006A10C5">
        <w:rPr>
          <w:rFonts w:ascii="Arial" w:hAnsi="Arial" w:cs="Arial"/>
          <w:lang w:val="en-US"/>
        </w:rPr>
        <w:t xml:space="preserve">, UK), was added to each well at a final concentration of approximately 100 mg tissue per 1 </w:t>
      </w:r>
      <w:proofErr w:type="spellStart"/>
      <w:r w:rsidRPr="006A10C5">
        <w:rPr>
          <w:rFonts w:ascii="Arial" w:hAnsi="Arial" w:cs="Arial"/>
          <w:lang w:val="en-US"/>
        </w:rPr>
        <w:t>mL·mg</w:t>
      </w:r>
      <w:proofErr w:type="spellEnd"/>
      <w:r w:rsidRPr="006A10C5">
        <w:rPr>
          <w:rFonts w:ascii="Arial" w:hAnsi="Arial" w:cs="Arial"/>
          <w:lang w:val="en-US"/>
        </w:rPr>
        <w:t xml:space="preserve"> tissue (Travers, Motta, Betts, &amp; Thompson, 2017). The plate was then moved to an incubator (MCO-18A1C CO2 incubator, SANYO) </w:t>
      </w:r>
      <w:r w:rsidR="00777DEE">
        <w:rPr>
          <w:rFonts w:ascii="Arial" w:hAnsi="Arial" w:cs="Arial"/>
          <w:lang w:val="en-US"/>
        </w:rPr>
        <w:t>for 3 h a</w:t>
      </w:r>
      <w:r w:rsidRPr="006A10C5">
        <w:rPr>
          <w:rFonts w:ascii="Arial" w:hAnsi="Arial" w:cs="Arial"/>
          <w:lang w:val="en-US"/>
        </w:rPr>
        <w:t>t 37 °C, 5 % CO2 and 95 +/-5 % relative humidity.</w:t>
      </w:r>
      <w:r w:rsidR="00777DEE">
        <w:rPr>
          <w:rFonts w:ascii="Arial" w:hAnsi="Arial" w:cs="Arial"/>
          <w:lang w:val="en-US"/>
        </w:rPr>
        <w:t xml:space="preserve"> The m</w:t>
      </w:r>
      <w:r w:rsidR="00777DEE" w:rsidRPr="00777DEE">
        <w:rPr>
          <w:rFonts w:ascii="Arial" w:hAnsi="Arial" w:cs="Arial"/>
          <w:lang w:val="en-US"/>
        </w:rPr>
        <w:t xml:space="preserve">edia and adipose tissue explants were </w:t>
      </w:r>
      <w:r w:rsidR="00777DEE">
        <w:rPr>
          <w:rFonts w:ascii="Arial" w:hAnsi="Arial" w:cs="Arial"/>
          <w:lang w:val="en-US"/>
        </w:rPr>
        <w:t xml:space="preserve">then transferred to separate </w:t>
      </w:r>
      <w:proofErr w:type="spellStart"/>
      <w:r w:rsidR="00777DEE">
        <w:rPr>
          <w:rFonts w:ascii="Arial" w:hAnsi="Arial" w:cs="Arial"/>
          <w:lang w:val="en-US"/>
        </w:rPr>
        <w:t>e</w:t>
      </w:r>
      <w:r w:rsidR="00777DEE" w:rsidRPr="00777DEE">
        <w:rPr>
          <w:rFonts w:ascii="Arial" w:hAnsi="Arial" w:cs="Arial"/>
          <w:lang w:val="en-US"/>
        </w:rPr>
        <w:t>ppendorfs</w:t>
      </w:r>
      <w:proofErr w:type="spellEnd"/>
      <w:r w:rsidR="00777DEE" w:rsidRPr="00777DEE">
        <w:rPr>
          <w:rFonts w:ascii="Arial" w:hAnsi="Arial" w:cs="Arial"/>
          <w:lang w:val="en-US"/>
        </w:rPr>
        <w:t xml:space="preserve"> and stored at -80 °C</w:t>
      </w:r>
      <w:r w:rsidR="00777DEE">
        <w:rPr>
          <w:rFonts w:ascii="Arial" w:hAnsi="Arial" w:cs="Arial"/>
          <w:lang w:val="en-US"/>
        </w:rPr>
        <w:t xml:space="preserve"> before glycerol concentrations </w:t>
      </w:r>
      <w:r w:rsidR="00777DEE" w:rsidRPr="00777DEE">
        <w:rPr>
          <w:rFonts w:ascii="Arial" w:hAnsi="Arial" w:cs="Arial"/>
          <w:lang w:val="en-US"/>
        </w:rPr>
        <w:t>in the extracted cell culture media</w:t>
      </w:r>
      <w:r w:rsidR="00777DEE">
        <w:rPr>
          <w:rFonts w:ascii="Arial" w:hAnsi="Arial" w:cs="Arial"/>
          <w:lang w:val="en-US"/>
        </w:rPr>
        <w:t xml:space="preserve"> were </w:t>
      </w:r>
      <w:proofErr w:type="spellStart"/>
      <w:r w:rsidR="00777DEE">
        <w:rPr>
          <w:rFonts w:ascii="Arial" w:hAnsi="Arial" w:cs="Arial"/>
          <w:lang w:val="en-US"/>
        </w:rPr>
        <w:t>analysed</w:t>
      </w:r>
      <w:proofErr w:type="spellEnd"/>
      <w:r w:rsidR="00777DEE">
        <w:rPr>
          <w:rFonts w:ascii="Arial" w:hAnsi="Arial" w:cs="Arial"/>
          <w:lang w:val="en-US"/>
        </w:rPr>
        <w:t xml:space="preserve"> in duplicate</w:t>
      </w:r>
      <w:r w:rsidR="00777DEE" w:rsidRPr="00777DEE">
        <w:rPr>
          <w:rFonts w:ascii="Arial" w:hAnsi="Arial" w:cs="Arial"/>
          <w:lang w:val="en-US"/>
        </w:rPr>
        <w:t xml:space="preserve"> using an automated </w:t>
      </w:r>
      <w:proofErr w:type="spellStart"/>
      <w:r w:rsidR="00777DEE" w:rsidRPr="00777DEE">
        <w:rPr>
          <w:rFonts w:ascii="Arial" w:hAnsi="Arial" w:cs="Arial"/>
          <w:lang w:val="en-US"/>
        </w:rPr>
        <w:t>analyser</w:t>
      </w:r>
      <w:proofErr w:type="spellEnd"/>
      <w:r w:rsidR="00777DEE" w:rsidRPr="00777DEE">
        <w:rPr>
          <w:rFonts w:ascii="Arial" w:hAnsi="Arial" w:cs="Arial"/>
          <w:lang w:val="en-US"/>
        </w:rPr>
        <w:t xml:space="preserve"> (Daytona Rx Series, </w:t>
      </w:r>
      <w:proofErr w:type="spellStart"/>
      <w:r w:rsidR="00777DEE" w:rsidRPr="00777DEE">
        <w:rPr>
          <w:rFonts w:ascii="Arial" w:hAnsi="Arial" w:cs="Arial"/>
          <w:lang w:val="en-US"/>
        </w:rPr>
        <w:t>Randox</w:t>
      </w:r>
      <w:proofErr w:type="spellEnd"/>
      <w:r w:rsidR="00777DEE" w:rsidRPr="00777DEE">
        <w:rPr>
          <w:rFonts w:ascii="Arial" w:hAnsi="Arial" w:cs="Arial"/>
          <w:lang w:val="en-US"/>
        </w:rPr>
        <w:t xml:space="preserve"> Laboratories, Crumlin, NI) according to manufacturer instructions using a commercially available immunoassay (Cat No: GY105; </w:t>
      </w:r>
      <w:proofErr w:type="spellStart"/>
      <w:r w:rsidR="00777DEE" w:rsidRPr="00777DEE">
        <w:rPr>
          <w:rFonts w:ascii="Arial" w:hAnsi="Arial" w:cs="Arial"/>
          <w:lang w:val="en-US"/>
        </w:rPr>
        <w:t>Randox</w:t>
      </w:r>
      <w:proofErr w:type="spellEnd"/>
      <w:r w:rsidR="00777DEE" w:rsidRPr="00777DEE">
        <w:rPr>
          <w:rFonts w:ascii="Arial" w:hAnsi="Arial" w:cs="Arial"/>
          <w:lang w:val="en-US"/>
        </w:rPr>
        <w:t xml:space="preserve"> Laboratories, Crumlin, NI).</w:t>
      </w:r>
      <w:r w:rsidR="00777DEE">
        <w:rPr>
          <w:rFonts w:ascii="Arial" w:hAnsi="Arial" w:cs="Arial"/>
          <w:lang w:val="en-US"/>
        </w:rPr>
        <w:t xml:space="preserve"> </w:t>
      </w:r>
    </w:p>
    <w:p w14:paraId="04485CDE" w14:textId="77777777" w:rsidR="00076FE6" w:rsidRDefault="00076FE6" w:rsidP="00E9352F">
      <w:pPr>
        <w:jc w:val="both"/>
        <w:rPr>
          <w:rFonts w:ascii="Arial" w:hAnsi="Arial" w:cs="Arial"/>
          <w:lang w:val="en-US"/>
        </w:rPr>
      </w:pPr>
    </w:p>
    <w:p w14:paraId="671F5E0E" w14:textId="66F685EA" w:rsidR="00076FE6" w:rsidRDefault="00076FE6" w:rsidP="00E9352F">
      <w:pPr>
        <w:jc w:val="both"/>
        <w:rPr>
          <w:rFonts w:ascii="Arial" w:hAnsi="Arial" w:cs="Arial"/>
          <w:b/>
          <w:lang w:val="en-US"/>
        </w:rPr>
      </w:pPr>
      <w:r w:rsidRPr="00076FE6">
        <w:rPr>
          <w:rFonts w:ascii="Arial" w:hAnsi="Arial" w:cs="Arial"/>
          <w:b/>
          <w:lang w:val="en-US"/>
        </w:rPr>
        <w:t>Notes</w:t>
      </w:r>
      <w:r>
        <w:rPr>
          <w:rFonts w:ascii="Arial" w:hAnsi="Arial" w:cs="Arial"/>
          <w:b/>
          <w:lang w:val="en-US"/>
        </w:rPr>
        <w:t>:</w:t>
      </w:r>
    </w:p>
    <w:p w14:paraId="1A7C4777" w14:textId="2CCE5176" w:rsidR="00852EC2" w:rsidRDefault="00852EC2" w:rsidP="00E9352F">
      <w:pPr>
        <w:jc w:val="both"/>
        <w:rPr>
          <w:rFonts w:ascii="Arial" w:hAnsi="Arial" w:cs="Arial"/>
          <w:b/>
          <w:lang w:val="en-US"/>
        </w:rPr>
      </w:pPr>
    </w:p>
    <w:p w14:paraId="5F3F9B35" w14:textId="6F7B613E" w:rsidR="00852EC2" w:rsidRDefault="00852EC2" w:rsidP="00852EC2">
      <w:pPr>
        <w:jc w:val="both"/>
        <w:rPr>
          <w:rFonts w:ascii="Arial" w:hAnsi="Arial" w:cs="Arial"/>
        </w:rPr>
      </w:pPr>
      <w:r w:rsidRPr="001431CE">
        <w:rPr>
          <w:rFonts w:ascii="Arial" w:hAnsi="Arial" w:cs="Arial"/>
        </w:rPr>
        <w:t xml:space="preserve">When a sensitivity analysis </w:t>
      </w:r>
      <w:r>
        <w:rPr>
          <w:rFonts w:ascii="Arial" w:hAnsi="Arial" w:cs="Arial"/>
        </w:rPr>
        <w:t>performed (as identified below) did not change the interpretation of findings, the data are not reported.</w:t>
      </w:r>
    </w:p>
    <w:p w14:paraId="6B4E67E1" w14:textId="39F4135B" w:rsidR="00852EC2" w:rsidRDefault="00852EC2" w:rsidP="00852EC2">
      <w:pPr>
        <w:jc w:val="both"/>
        <w:rPr>
          <w:rFonts w:ascii="Arial" w:hAnsi="Arial" w:cs="Arial"/>
        </w:rPr>
      </w:pPr>
    </w:p>
    <w:p w14:paraId="3ABB5267" w14:textId="0F6D4D1B" w:rsidR="00852EC2" w:rsidRDefault="00852EC2" w:rsidP="00E9352F">
      <w:pPr>
        <w:jc w:val="both"/>
        <w:rPr>
          <w:rFonts w:ascii="Arial" w:hAnsi="Arial" w:cs="Arial"/>
          <w:b/>
          <w:lang w:val="en-US"/>
        </w:rPr>
      </w:pPr>
      <w:r>
        <w:rPr>
          <w:rFonts w:ascii="Arial" w:hAnsi="Arial" w:cs="Arial"/>
        </w:rPr>
        <w:t>In the skeletal muscle sex sub-group comparison two male participants (IDs 41 and 54) were able to be matched to a female participant based on cardiorespiratory fitness, physical activity level and fat mass index classification. Sensitivity analysis was performed by ana</w:t>
      </w:r>
      <w:bookmarkStart w:id="0" w:name="_GoBack"/>
      <w:bookmarkEnd w:id="0"/>
      <w:r>
        <w:rPr>
          <w:rFonts w:ascii="Arial" w:hAnsi="Arial" w:cs="Arial"/>
        </w:rPr>
        <w:t>lysis</w:t>
      </w:r>
      <w:r w:rsidR="00C3470A">
        <w:rPr>
          <w:rFonts w:ascii="Arial" w:hAnsi="Arial" w:cs="Arial"/>
        </w:rPr>
        <w:t xml:space="preserve"> of</w:t>
      </w:r>
      <w:r>
        <w:rPr>
          <w:rFonts w:ascii="Arial" w:hAnsi="Arial" w:cs="Arial"/>
        </w:rPr>
        <w:t xml:space="preserve"> the data with either one of these male participants. Thus, in the corresponding datafile there are </w:t>
      </w:r>
      <w:r>
        <w:rPr>
          <w:rFonts w:ascii="Arial" w:hAnsi="Arial" w:cs="Arial"/>
          <w:i/>
        </w:rPr>
        <w:t xml:space="preserve">n </w:t>
      </w:r>
      <w:r>
        <w:rPr>
          <w:rFonts w:ascii="Arial" w:hAnsi="Arial" w:cs="Arial"/>
        </w:rPr>
        <w:t xml:space="preserve">= 7 male participants.  </w:t>
      </w:r>
    </w:p>
    <w:p w14:paraId="1F60D9A9" w14:textId="618AEAA1" w:rsidR="00911C62" w:rsidRDefault="00911C62" w:rsidP="00E9352F">
      <w:pPr>
        <w:jc w:val="both"/>
        <w:rPr>
          <w:rFonts w:ascii="Arial" w:hAnsi="Arial" w:cs="Arial"/>
          <w:b/>
          <w:lang w:val="en-US"/>
        </w:rPr>
      </w:pPr>
    </w:p>
    <w:p w14:paraId="5526B104" w14:textId="4D71B6B0" w:rsidR="007462DB" w:rsidRDefault="007462DB" w:rsidP="00E9352F">
      <w:pPr>
        <w:jc w:val="both"/>
        <w:rPr>
          <w:rFonts w:ascii="Arial" w:hAnsi="Arial" w:cs="Arial"/>
          <w:b/>
          <w:lang w:val="en-US"/>
        </w:rPr>
      </w:pPr>
      <w:r>
        <w:rPr>
          <w:rFonts w:ascii="Arial" w:hAnsi="Arial" w:cs="Arial"/>
          <w:b/>
          <w:lang w:val="en-US"/>
        </w:rPr>
        <w:t>Study protocol deviances</w:t>
      </w:r>
    </w:p>
    <w:p w14:paraId="1E7A6C29" w14:textId="59941BC9" w:rsidR="009D7528" w:rsidRDefault="009D7528" w:rsidP="00E9352F">
      <w:pPr>
        <w:jc w:val="both"/>
        <w:rPr>
          <w:rFonts w:ascii="Arial" w:hAnsi="Arial" w:cs="Arial"/>
          <w:b/>
          <w:lang w:val="en-US"/>
        </w:rPr>
      </w:pPr>
    </w:p>
    <w:p w14:paraId="7229A189" w14:textId="18D2FAB8" w:rsidR="009D7528" w:rsidRDefault="00B072D2" w:rsidP="009D7528">
      <w:pPr>
        <w:ind w:firstLine="360"/>
        <w:jc w:val="both"/>
        <w:rPr>
          <w:rFonts w:ascii="Arial" w:hAnsi="Arial" w:cs="Arial"/>
          <w:b/>
          <w:lang w:val="en-US"/>
        </w:rPr>
      </w:pPr>
      <w:r>
        <w:rPr>
          <w:rFonts w:ascii="Arial" w:hAnsi="Arial" w:cs="Arial"/>
          <w:b/>
          <w:lang w:val="en-US"/>
        </w:rPr>
        <w:t>Overnight fast time</w:t>
      </w:r>
    </w:p>
    <w:p w14:paraId="21FAE562" w14:textId="057C299A" w:rsidR="009D7528" w:rsidRDefault="009D7528" w:rsidP="009D7528">
      <w:pPr>
        <w:ind w:firstLine="360"/>
        <w:jc w:val="both"/>
        <w:rPr>
          <w:rFonts w:ascii="Arial" w:hAnsi="Arial" w:cs="Arial"/>
          <w:b/>
          <w:lang w:val="en-US"/>
        </w:rPr>
      </w:pPr>
    </w:p>
    <w:p w14:paraId="2328285A" w14:textId="0F38550C" w:rsidR="00F960CE" w:rsidRDefault="00F960CE" w:rsidP="00F960CE">
      <w:pPr>
        <w:ind w:left="360"/>
        <w:jc w:val="both"/>
        <w:rPr>
          <w:rFonts w:ascii="Arial" w:hAnsi="Arial" w:cs="Arial"/>
        </w:rPr>
      </w:pPr>
      <w:r w:rsidRPr="00B072D2">
        <w:rPr>
          <w:rFonts w:ascii="Arial" w:hAnsi="Arial" w:cs="Arial"/>
        </w:rPr>
        <w:t>The majority of participants arrived to the lab on each occasion after a 10 – 13 h overnight fast (</w:t>
      </w:r>
      <w:r w:rsidRPr="00B072D2">
        <w:rPr>
          <w:rFonts w:ascii="Arial" w:hAnsi="Arial" w:cs="Arial"/>
          <w:i/>
        </w:rPr>
        <w:t xml:space="preserve">n </w:t>
      </w:r>
      <w:r w:rsidRPr="00B072D2">
        <w:rPr>
          <w:rFonts w:ascii="Arial" w:hAnsi="Arial" w:cs="Arial"/>
        </w:rPr>
        <w:t xml:space="preserve">= 84 out of 99) of which </w:t>
      </w:r>
      <w:r w:rsidRPr="00B072D2">
        <w:rPr>
          <w:rFonts w:ascii="Arial" w:hAnsi="Arial" w:cs="Arial"/>
          <w:i/>
        </w:rPr>
        <w:t xml:space="preserve">n </w:t>
      </w:r>
      <w:r w:rsidR="00AA34AE">
        <w:rPr>
          <w:rFonts w:ascii="Arial" w:hAnsi="Arial" w:cs="Arial"/>
        </w:rPr>
        <w:t>= 82 (out of 84</w:t>
      </w:r>
      <w:r w:rsidRPr="00B072D2">
        <w:rPr>
          <w:rFonts w:ascii="Arial" w:hAnsi="Arial" w:cs="Arial"/>
        </w:rPr>
        <w:t xml:space="preserve">) self-reported to replicate (+/- 1 h) this fasting time before subsequent trials. In </w:t>
      </w:r>
      <w:r w:rsidRPr="00B072D2">
        <w:rPr>
          <w:rFonts w:ascii="Arial" w:hAnsi="Arial" w:cs="Arial"/>
          <w:i/>
        </w:rPr>
        <w:t>n</w:t>
      </w:r>
      <w:r w:rsidRPr="00B072D2">
        <w:rPr>
          <w:rFonts w:ascii="Arial" w:hAnsi="Arial" w:cs="Arial"/>
        </w:rPr>
        <w:t xml:space="preserve"> = 5 of these participants, the actual length of self-reported overnight fast time was not recorded in either Trial A or Trial B, but was verbally confirmed. Of the 15 participants who were out of the requested overnight fast timeframe on at least one of the trials (</w:t>
      </w:r>
      <w:r w:rsidRPr="00B072D2">
        <w:rPr>
          <w:rFonts w:ascii="Arial" w:hAnsi="Arial" w:cs="Arial"/>
          <w:i/>
        </w:rPr>
        <w:t xml:space="preserve">n </w:t>
      </w:r>
      <w:r w:rsidRPr="00B072D2">
        <w:rPr>
          <w:rFonts w:ascii="Arial" w:hAnsi="Arial" w:cs="Arial"/>
        </w:rPr>
        <w:t xml:space="preserve">= 1 &lt; 10 h, and </w:t>
      </w:r>
      <w:r w:rsidRPr="00B072D2">
        <w:rPr>
          <w:rFonts w:ascii="Arial" w:hAnsi="Arial" w:cs="Arial"/>
          <w:i/>
        </w:rPr>
        <w:t xml:space="preserve">n </w:t>
      </w:r>
      <w:r w:rsidRPr="00B072D2">
        <w:rPr>
          <w:rFonts w:ascii="Arial" w:hAnsi="Arial" w:cs="Arial"/>
        </w:rPr>
        <w:t xml:space="preserve">= 14 between 13 – 16 ½ h), </w:t>
      </w:r>
      <w:r w:rsidRPr="00B072D2">
        <w:rPr>
          <w:rFonts w:ascii="Arial" w:hAnsi="Arial" w:cs="Arial"/>
          <w:i/>
        </w:rPr>
        <w:t xml:space="preserve">n </w:t>
      </w:r>
      <w:r w:rsidRPr="00B072D2">
        <w:rPr>
          <w:rFonts w:ascii="Arial" w:hAnsi="Arial" w:cs="Arial"/>
        </w:rPr>
        <w:t>= 7 replicated their fast ti</w:t>
      </w:r>
      <w:r w:rsidR="00B072D2">
        <w:rPr>
          <w:rFonts w:ascii="Arial" w:hAnsi="Arial" w:cs="Arial"/>
        </w:rPr>
        <w:t>me (+/- 1 h) upon request from OCS</w:t>
      </w:r>
      <w:r w:rsidRPr="00B072D2">
        <w:rPr>
          <w:rFonts w:ascii="Arial" w:hAnsi="Arial" w:cs="Arial"/>
        </w:rPr>
        <w:t xml:space="preserve">. Sensitivity analysis was performed on participants who were &gt; 14 ½ h self-reported fasting time on either or both Trial A and Trial B. However, due to no systematic differences in PFO </w:t>
      </w:r>
      <w:r w:rsidRPr="00B072D2">
        <w:rPr>
          <w:rFonts w:ascii="Arial" w:hAnsi="Arial" w:cs="Arial"/>
        </w:rPr>
        <w:fldChar w:fldCharType="begin"/>
      </w:r>
      <w:r w:rsidRPr="00B072D2">
        <w:rPr>
          <w:rFonts w:ascii="Arial" w:hAnsi="Arial" w:cs="Arial"/>
        </w:rPr>
        <w:instrText xml:space="preserve"> ADDIN EN.CITE &lt;EndNote&gt;&lt;Cite&gt;&lt;Author&gt;Frandsen&lt;/Author&gt;&lt;Year&gt;2019&lt;/Year&gt;&lt;RecNum&gt;8446&lt;/RecNum&gt;&lt;DisplayText&gt;(Frandsen&lt;style face="italic"&gt; et al.&lt;/style&gt;, 2019)&lt;/DisplayText&gt;&lt;record&gt;&lt;rec-number&gt;8446&lt;/rec-number&gt;&lt;foreign-keys&gt;&lt;key app="EN" db-id="5ewstwwz7vwaeaee0wbx0tfgw2z2esdfea2t" timestamp="1567512692"&gt;8446&lt;/key&gt;&lt;/foreign-keys&gt;&lt;ref-type name="Journal Article"&gt;17&lt;/ref-type&gt;&lt;contributors&gt;&lt;authors&gt;&lt;author&gt;Frandsen, J.&lt;/author&gt;&lt;author&gt;Vest, S. D.&lt;/author&gt;&lt;author&gt;Ritz, C.&lt;/author&gt;&lt;author&gt;Larsen, S.&lt;/author&gt;&lt;author&gt;Dela, F.&lt;/author&gt;&lt;author&gt;Helge, J. W.&lt;/author&gt;&lt;/authors&gt;&lt;/contributors&gt;&lt;titles&gt;&lt;title&gt;Plasma free fatty acid concentration is closely tied to whole body peak fat oxidation rate during repeated exercise&lt;/title&gt;&lt;secondary-title&gt;Journal of Applied Physiology&lt;/secondary-title&gt;&lt;/titles&gt;&lt;periodical&gt;&lt;full-title&gt;Journal of Applied Physiology&lt;/full-title&gt;&lt;/periodical&gt;&lt;pages&gt;1563-1571&lt;/pages&gt;&lt;volume&gt;126&lt;/volume&gt;&lt;number&gt;6&lt;/number&gt;&lt;dates&gt;&lt;year&gt;2019&lt;/year&gt;&lt;pub-dates&gt;&lt;date&gt;2019/06/01&lt;/date&gt;&lt;/pub-dates&gt;&lt;/dates&gt;&lt;publisher&gt;American Physiological Society&lt;/publisher&gt;&lt;isbn&gt;8750-7587&lt;/isbn&gt;&lt;urls&gt;&lt;related-urls&gt;&lt;url&gt;https://doi.org/10.1152/japplphysiol.00995.2018&lt;/url&gt;&lt;/related-urls&gt;&lt;/urls&gt;&lt;electronic-resource-num&gt;10.1152/japplphysiol.00995.2018&lt;/electronic-resource-num&gt;&lt;access-date&gt;2019/09/03&lt;/access-date&gt;&lt;/record&gt;&lt;/Cite&gt;&lt;/EndNote&gt;</w:instrText>
      </w:r>
      <w:r w:rsidRPr="00B072D2">
        <w:rPr>
          <w:rFonts w:ascii="Arial" w:hAnsi="Arial" w:cs="Arial"/>
        </w:rPr>
        <w:fldChar w:fldCharType="separate"/>
      </w:r>
      <w:r w:rsidRPr="00B072D2">
        <w:rPr>
          <w:rFonts w:ascii="Arial" w:hAnsi="Arial" w:cs="Arial"/>
          <w:noProof/>
        </w:rPr>
        <w:t>(Frandsen</w:t>
      </w:r>
      <w:r w:rsidRPr="00B072D2">
        <w:rPr>
          <w:rFonts w:ascii="Arial" w:hAnsi="Arial" w:cs="Arial"/>
          <w:i/>
          <w:noProof/>
        </w:rPr>
        <w:t xml:space="preserve"> et al.</w:t>
      </w:r>
      <w:r w:rsidRPr="00B072D2">
        <w:rPr>
          <w:rFonts w:ascii="Arial" w:hAnsi="Arial" w:cs="Arial"/>
          <w:noProof/>
        </w:rPr>
        <w:t>, 2019)</w:t>
      </w:r>
      <w:r w:rsidRPr="00B072D2">
        <w:rPr>
          <w:rFonts w:ascii="Arial" w:hAnsi="Arial" w:cs="Arial"/>
        </w:rPr>
        <w:fldChar w:fldCharType="end"/>
      </w:r>
      <w:r w:rsidRPr="00B072D2">
        <w:rPr>
          <w:rFonts w:ascii="Arial" w:hAnsi="Arial" w:cs="Arial"/>
        </w:rPr>
        <w:t xml:space="preserve"> or substrate utilisation </w: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 </w:instrTex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EN.CITE.DATA </w:instrText>
      </w:r>
      <w:r w:rsidRPr="00B072D2">
        <w:rPr>
          <w:rFonts w:ascii="Arial" w:hAnsi="Arial" w:cs="Arial"/>
        </w:rPr>
      </w:r>
      <w:r w:rsidRPr="00B072D2">
        <w:rPr>
          <w:rFonts w:ascii="Arial" w:hAnsi="Arial" w:cs="Arial"/>
        </w:rPr>
        <w:fldChar w:fldCharType="end"/>
      </w:r>
      <w:r w:rsidRPr="00B072D2">
        <w:rPr>
          <w:rFonts w:ascii="Arial" w:hAnsi="Arial" w:cs="Arial"/>
        </w:rPr>
      </w:r>
      <w:r w:rsidRPr="00B072D2">
        <w:rPr>
          <w:rFonts w:ascii="Arial" w:hAnsi="Arial" w:cs="Arial"/>
        </w:rPr>
        <w:fldChar w:fldCharType="separate"/>
      </w:r>
      <w:r w:rsidRPr="00B072D2">
        <w:rPr>
          <w:rFonts w:ascii="Arial" w:hAnsi="Arial" w:cs="Arial"/>
          <w:noProof/>
        </w:rPr>
        <w:t>(Montain</w:t>
      </w:r>
      <w:r w:rsidRPr="00B072D2">
        <w:rPr>
          <w:rFonts w:ascii="Arial" w:hAnsi="Arial" w:cs="Arial"/>
          <w:i/>
          <w:noProof/>
        </w:rPr>
        <w:t xml:space="preserve"> et al.</w:t>
      </w:r>
      <w:r w:rsidRPr="00B072D2">
        <w:rPr>
          <w:rFonts w:ascii="Arial" w:hAnsi="Arial" w:cs="Arial"/>
          <w:noProof/>
        </w:rPr>
        <w:t>, 1991)</w:t>
      </w:r>
      <w:r w:rsidRPr="00B072D2">
        <w:rPr>
          <w:rFonts w:ascii="Arial" w:hAnsi="Arial" w:cs="Arial"/>
        </w:rPr>
        <w:fldChar w:fldCharType="end"/>
      </w:r>
      <w:r w:rsidRPr="00B072D2">
        <w:rPr>
          <w:rFonts w:ascii="Arial" w:hAnsi="Arial" w:cs="Arial"/>
        </w:rPr>
        <w:t xml:space="preserve"> between an approximate 10 – 14 ½ h overnight fast and 8 – 12 h fast, respectively, participants within these time frames were kept in for all analyses.</w:t>
      </w:r>
      <w:r w:rsidR="00B072D2">
        <w:t xml:space="preserve"> </w:t>
      </w:r>
      <w:r w:rsidR="00B072D2">
        <w:rPr>
          <w:rFonts w:ascii="Arial" w:hAnsi="Arial" w:cs="Arial"/>
        </w:rPr>
        <w:t>The participants who had an o</w:t>
      </w:r>
      <w:r w:rsidR="00B072D2" w:rsidRPr="00B072D2">
        <w:rPr>
          <w:rFonts w:ascii="Arial" w:hAnsi="Arial" w:cs="Arial"/>
        </w:rPr>
        <w:t>vernight fast time of ≥ 14</w:t>
      </w:r>
      <w:r w:rsidR="00A55135">
        <w:rPr>
          <w:rFonts w:ascii="Arial" w:hAnsi="Arial" w:cs="Arial"/>
        </w:rPr>
        <w:t xml:space="preserve"> 1/2</w:t>
      </w:r>
      <w:r w:rsidR="00B072D2" w:rsidRPr="00B072D2">
        <w:rPr>
          <w:rFonts w:ascii="Arial" w:hAnsi="Arial" w:cs="Arial"/>
        </w:rPr>
        <w:t xml:space="preserve"> hr</w:t>
      </w:r>
      <w:r w:rsidR="00A55135">
        <w:rPr>
          <w:rFonts w:ascii="Arial" w:hAnsi="Arial" w:cs="Arial"/>
        </w:rPr>
        <w:t>s</w:t>
      </w:r>
      <w:r w:rsidR="00B072D2">
        <w:rPr>
          <w:rFonts w:ascii="Arial" w:hAnsi="Arial" w:cs="Arial"/>
        </w:rPr>
        <w:t xml:space="preserve"> were:</w:t>
      </w:r>
    </w:p>
    <w:p w14:paraId="0CD7938C" w14:textId="77777777" w:rsidR="00B072D2" w:rsidRDefault="00B072D2" w:rsidP="00F960CE">
      <w:pPr>
        <w:ind w:left="360"/>
        <w:jc w:val="both"/>
        <w:rPr>
          <w:rFonts w:ascii="Arial" w:hAnsi="Arial" w:cs="Arial"/>
        </w:rPr>
      </w:pPr>
    </w:p>
    <w:p w14:paraId="0754B80A" w14:textId="29498216" w:rsidR="009D7528" w:rsidRPr="00EC0227" w:rsidRDefault="009D7528" w:rsidP="009D7528">
      <w:pPr>
        <w:pStyle w:val="ListParagraph"/>
        <w:numPr>
          <w:ilvl w:val="0"/>
          <w:numId w:val="6"/>
        </w:numPr>
        <w:jc w:val="both"/>
        <w:rPr>
          <w:rFonts w:ascii="Arial" w:hAnsi="Arial" w:cs="Arial"/>
          <w:b/>
          <w:lang w:val="en-US"/>
        </w:rPr>
      </w:pPr>
      <w:r>
        <w:rPr>
          <w:rFonts w:ascii="Arial" w:hAnsi="Arial" w:cs="Arial"/>
          <w:lang w:val="en-US"/>
        </w:rPr>
        <w:t>IDs 7, 32</w:t>
      </w:r>
      <w:r w:rsidR="00213D80">
        <w:rPr>
          <w:rFonts w:ascii="Arial" w:hAnsi="Arial" w:cs="Arial"/>
          <w:lang w:val="en-US"/>
        </w:rPr>
        <w:t xml:space="preserve">, </w:t>
      </w:r>
      <w:r>
        <w:rPr>
          <w:rFonts w:ascii="Arial" w:hAnsi="Arial" w:cs="Arial"/>
          <w:lang w:val="en-US"/>
        </w:rPr>
        <w:t>65</w:t>
      </w:r>
    </w:p>
    <w:p w14:paraId="022DDF34" w14:textId="77777777" w:rsidR="00EC0227" w:rsidRPr="00F960CE" w:rsidRDefault="00EC0227" w:rsidP="00EC0227">
      <w:pPr>
        <w:pStyle w:val="ListParagraph"/>
        <w:ind w:left="1080"/>
        <w:jc w:val="both"/>
        <w:rPr>
          <w:rFonts w:ascii="Arial" w:hAnsi="Arial" w:cs="Arial"/>
          <w:b/>
          <w:lang w:val="en-US"/>
        </w:rPr>
      </w:pPr>
    </w:p>
    <w:p w14:paraId="1A8E10F9" w14:textId="4861D93E" w:rsidR="00785DD0" w:rsidRDefault="00785DD0" w:rsidP="007462DB">
      <w:pPr>
        <w:ind w:firstLine="360"/>
        <w:jc w:val="both"/>
        <w:rPr>
          <w:rFonts w:ascii="Arial" w:hAnsi="Arial" w:cs="Arial"/>
          <w:b/>
          <w:lang w:val="en-US"/>
        </w:rPr>
      </w:pPr>
      <w:r w:rsidRPr="00B02B40">
        <w:rPr>
          <w:rFonts w:ascii="Arial" w:hAnsi="Arial" w:cs="Arial"/>
          <w:b/>
          <w:lang w:val="en-US"/>
        </w:rPr>
        <w:t>Trial A and B not between 7 and 28 days:</w:t>
      </w:r>
    </w:p>
    <w:p w14:paraId="649E3082" w14:textId="77777777" w:rsidR="00B02B40" w:rsidRPr="00B02B40" w:rsidRDefault="00B02B40" w:rsidP="00E9352F">
      <w:pPr>
        <w:jc w:val="both"/>
        <w:rPr>
          <w:rFonts w:ascii="Arial" w:hAnsi="Arial" w:cs="Arial"/>
          <w:b/>
          <w:lang w:val="en-US"/>
        </w:rPr>
      </w:pPr>
    </w:p>
    <w:p w14:paraId="4D85B896" w14:textId="36AEB794" w:rsidR="00785DD0" w:rsidRPr="00B02B4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w:t>
      </w:r>
      <w:r w:rsidR="00013AD3">
        <w:rPr>
          <w:rFonts w:ascii="Arial" w:hAnsi="Arial" w:cs="Arial"/>
          <w:lang w:val="en-US"/>
        </w:rPr>
        <w:t xml:space="preserve"> </w:t>
      </w:r>
      <w:r w:rsidRPr="00B02B40">
        <w:rPr>
          <w:rFonts w:ascii="Arial" w:hAnsi="Arial" w:cs="Arial"/>
          <w:lang w:val="en-US"/>
        </w:rPr>
        <w:t xml:space="preserve">11 = 6 days </w:t>
      </w:r>
    </w:p>
    <w:p w14:paraId="7EA0B4DE" w14:textId="0CBEDD55" w:rsidR="00785DD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 83 = 29 days</w:t>
      </w:r>
    </w:p>
    <w:p w14:paraId="652A0AC7" w14:textId="77777777" w:rsidR="001002AC" w:rsidRDefault="001002AC" w:rsidP="001002AC">
      <w:pPr>
        <w:ind w:left="426"/>
        <w:jc w:val="both"/>
        <w:rPr>
          <w:rFonts w:ascii="Arial" w:hAnsi="Arial" w:cs="Arial"/>
          <w:lang w:val="en-US"/>
        </w:rPr>
      </w:pPr>
    </w:p>
    <w:p w14:paraId="577E451F" w14:textId="67145FEF" w:rsidR="002304DE" w:rsidRPr="002304DE" w:rsidRDefault="002304DE" w:rsidP="007462DB">
      <w:pPr>
        <w:ind w:firstLine="360"/>
        <w:jc w:val="both"/>
        <w:rPr>
          <w:rFonts w:ascii="Arial" w:hAnsi="Arial" w:cs="Arial"/>
          <w:b/>
          <w:lang w:val="en-US"/>
        </w:rPr>
      </w:pPr>
      <w:r w:rsidRPr="002304DE">
        <w:rPr>
          <w:rFonts w:ascii="Arial" w:hAnsi="Arial" w:cs="Arial"/>
          <w:b/>
          <w:lang w:val="en-US"/>
        </w:rPr>
        <w:t>Trial B and C not between 2 – 7 days:</w:t>
      </w:r>
    </w:p>
    <w:p w14:paraId="13B131F0" w14:textId="0FD57D10" w:rsidR="002304DE" w:rsidRDefault="002304DE" w:rsidP="002304DE">
      <w:pPr>
        <w:jc w:val="both"/>
        <w:rPr>
          <w:rFonts w:ascii="Arial" w:hAnsi="Arial" w:cs="Arial"/>
          <w:lang w:val="en-US"/>
        </w:rPr>
      </w:pPr>
    </w:p>
    <w:p w14:paraId="2EB0DB83" w14:textId="420AF234"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w:t>
      </w:r>
      <w:r>
        <w:rPr>
          <w:rFonts w:ascii="Arial" w:hAnsi="Arial" w:cs="Arial"/>
          <w:lang w:val="en-US"/>
        </w:rPr>
        <w:t xml:space="preserve"> 54, 78 = 1 day</w:t>
      </w:r>
    </w:p>
    <w:p w14:paraId="0EF07BC0" w14:textId="55B2677A"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77 = 8 days</w:t>
      </w:r>
    </w:p>
    <w:p w14:paraId="0C2B7D1F" w14:textId="0A0AAA35"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9 = 10 days</w:t>
      </w:r>
    </w:p>
    <w:p w14:paraId="574CDC7E" w14:textId="6B356FF6"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 = 11 days</w:t>
      </w:r>
    </w:p>
    <w:p w14:paraId="79BA1765" w14:textId="35086964" w:rsidR="002304DE" w:rsidRDefault="002304DE" w:rsidP="008F191D">
      <w:pPr>
        <w:jc w:val="both"/>
        <w:rPr>
          <w:rFonts w:ascii="Arial" w:hAnsi="Arial" w:cs="Arial"/>
          <w:lang w:val="en-US"/>
        </w:rPr>
      </w:pPr>
    </w:p>
    <w:p w14:paraId="43A96E19" w14:textId="51C0CD95" w:rsidR="000830B7" w:rsidRDefault="000830B7" w:rsidP="000830B7">
      <w:pPr>
        <w:ind w:left="426"/>
        <w:jc w:val="both"/>
        <w:rPr>
          <w:rFonts w:ascii="Arial" w:hAnsi="Arial" w:cs="Arial"/>
          <w:lang w:val="en-US"/>
        </w:rPr>
      </w:pPr>
      <w:r w:rsidRPr="001002AC">
        <w:rPr>
          <w:rFonts w:ascii="Arial" w:hAnsi="Arial" w:cs="Arial"/>
          <w:lang w:val="en-US"/>
        </w:rPr>
        <w:t>These deviances in study timeframes</w:t>
      </w:r>
      <w:r>
        <w:rPr>
          <w:rFonts w:ascii="Arial" w:hAnsi="Arial" w:cs="Arial"/>
          <w:lang w:val="en-US"/>
        </w:rPr>
        <w:t xml:space="preserve"> (between Trial A and Trial B, and Trial B and Trial C)</w:t>
      </w:r>
      <w:r w:rsidRPr="001002AC">
        <w:rPr>
          <w:rFonts w:ascii="Arial" w:hAnsi="Arial" w:cs="Arial"/>
          <w:lang w:val="en-US"/>
        </w:rPr>
        <w:t xml:space="preserve"> were due to logistical reasons (e.g. annual leave), availability of participant, lab or researcher and / or attempts to control for estimated menstrual cycle phase.</w:t>
      </w:r>
      <w:r>
        <w:rPr>
          <w:rFonts w:ascii="Arial" w:hAnsi="Arial" w:cs="Arial"/>
          <w:lang w:val="en-US"/>
        </w:rPr>
        <w:t xml:space="preserve"> Sensitivity a</w:t>
      </w:r>
      <w:r w:rsidR="0042633D">
        <w:rPr>
          <w:rFonts w:ascii="Arial" w:hAnsi="Arial" w:cs="Arial"/>
          <w:lang w:val="en-US"/>
        </w:rPr>
        <w:t>nalysis was not performed on these participants</w:t>
      </w:r>
      <w:r>
        <w:rPr>
          <w:rFonts w:ascii="Arial" w:hAnsi="Arial" w:cs="Arial"/>
          <w:lang w:val="en-US"/>
        </w:rPr>
        <w:t>.</w:t>
      </w:r>
    </w:p>
    <w:p w14:paraId="1EBFEB0F" w14:textId="77777777" w:rsidR="000830B7" w:rsidRDefault="000830B7" w:rsidP="008F191D">
      <w:pPr>
        <w:jc w:val="both"/>
        <w:rPr>
          <w:rFonts w:ascii="Arial" w:hAnsi="Arial" w:cs="Arial"/>
          <w:lang w:val="en-US"/>
        </w:rPr>
      </w:pPr>
    </w:p>
    <w:p w14:paraId="10FA79C2" w14:textId="6F5D96F1" w:rsidR="008F191D" w:rsidRDefault="00B20C81" w:rsidP="007462DB">
      <w:pPr>
        <w:ind w:firstLine="360"/>
        <w:jc w:val="both"/>
        <w:rPr>
          <w:rFonts w:ascii="Arial" w:hAnsi="Arial" w:cs="Arial"/>
          <w:b/>
          <w:lang w:val="en-US"/>
        </w:rPr>
      </w:pPr>
      <w:r>
        <w:rPr>
          <w:rFonts w:ascii="Arial" w:hAnsi="Arial" w:cs="Arial"/>
          <w:b/>
          <w:lang w:val="en-US"/>
        </w:rPr>
        <w:t>Resting metabolic gas data</w:t>
      </w:r>
    </w:p>
    <w:p w14:paraId="3EFEA98F" w14:textId="4ABBA6B8" w:rsidR="00B20C81" w:rsidRDefault="00B20C81" w:rsidP="008F191D">
      <w:pPr>
        <w:jc w:val="both"/>
        <w:rPr>
          <w:rFonts w:ascii="Arial" w:hAnsi="Arial" w:cs="Arial"/>
          <w:b/>
          <w:lang w:val="en-US"/>
        </w:rPr>
      </w:pPr>
    </w:p>
    <w:p w14:paraId="08B4D3B7" w14:textId="490FA2F4" w:rsidR="00B20C81" w:rsidRPr="00F1002F"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54</w:t>
      </w:r>
      <w:r w:rsidR="00D54A7E">
        <w:rPr>
          <w:rFonts w:ascii="Arial" w:hAnsi="Arial" w:cs="Arial"/>
          <w:lang w:val="en-US"/>
        </w:rPr>
        <w:t>,</w:t>
      </w:r>
      <w:r w:rsidRPr="00F1002F">
        <w:rPr>
          <w:rFonts w:ascii="Arial" w:hAnsi="Arial" w:cs="Arial"/>
          <w:lang w:val="en-US"/>
        </w:rPr>
        <w:t xml:space="preserve"> 68: Trial A data derived from one Douglas bag</w:t>
      </w:r>
    </w:p>
    <w:p w14:paraId="6649DDC0" w14:textId="294578E6" w:rsidR="00B20C81"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35, 78: Trial B data derived from one Douglas bag</w:t>
      </w:r>
    </w:p>
    <w:p w14:paraId="6D78985E" w14:textId="47F03198" w:rsidR="004A4398" w:rsidRDefault="004A4398" w:rsidP="004A4398">
      <w:pPr>
        <w:jc w:val="both"/>
        <w:rPr>
          <w:rFonts w:ascii="Arial" w:hAnsi="Arial" w:cs="Arial"/>
          <w:lang w:val="en-US"/>
        </w:rPr>
      </w:pPr>
    </w:p>
    <w:p w14:paraId="64AB60CB" w14:textId="178B50A1" w:rsidR="004A4398" w:rsidRDefault="004A4398" w:rsidP="004A4398">
      <w:pPr>
        <w:ind w:left="360"/>
        <w:jc w:val="both"/>
        <w:rPr>
          <w:rFonts w:ascii="Arial" w:hAnsi="Arial" w:cs="Arial"/>
        </w:rPr>
      </w:pPr>
      <w:r w:rsidRPr="004A4398">
        <w:rPr>
          <w:rFonts w:ascii="Arial" w:hAnsi="Arial" w:cs="Arial"/>
          <w:lang w:val="en-US"/>
        </w:rPr>
        <w:t>Resting metabolic gas data was obtained from only one Douglas bag due to time constraints in lab availability and / or on the participant</w:t>
      </w:r>
      <w:r w:rsidR="00D54A7E">
        <w:rPr>
          <w:rFonts w:ascii="Arial" w:hAnsi="Arial" w:cs="Arial"/>
          <w:lang w:val="en-US"/>
        </w:rPr>
        <w:t xml:space="preserve">. </w:t>
      </w:r>
      <w:r w:rsidRPr="004A4398">
        <w:rPr>
          <w:rFonts w:ascii="Arial" w:hAnsi="Arial" w:cs="Arial"/>
          <w:lang w:val="en-US"/>
        </w:rPr>
        <w:t>RMR was estimated from the collection and analysis of only one 5-min resting expired gas sample (after the collection of at least 3 x 5-min expired gas samples). In all but one participant, th</w:t>
      </w:r>
      <w:r>
        <w:rPr>
          <w:rFonts w:ascii="Arial" w:hAnsi="Arial" w:cs="Arial"/>
          <w:lang w:val="en-US"/>
        </w:rPr>
        <w:t>ese estimates of RMR were all &lt;</w:t>
      </w:r>
      <w:r w:rsidRPr="004A4398">
        <w:rPr>
          <w:rFonts w:ascii="Arial" w:hAnsi="Arial" w:cs="Arial"/>
          <w:lang w:val="en-US"/>
        </w:rPr>
        <w:t xml:space="preserve">100 kcal from estimated RMR using the Schofield equation </w:t>
      </w:r>
      <w:r w:rsidR="0047503C">
        <w:rPr>
          <w:rFonts w:ascii="Arial" w:hAnsi="Arial" w:cs="Arial"/>
          <w:lang w:val="en-US"/>
        </w:rPr>
        <w:fldChar w:fldCharType="begin"/>
      </w:r>
      <w:r w:rsidR="0047503C">
        <w:rPr>
          <w:rFonts w:ascii="Arial" w:hAnsi="Arial" w:cs="Arial"/>
          <w:lang w:val="en-US"/>
        </w:rPr>
        <w:instrText xml:space="preserve"> ADDIN EN.CITE &lt;EndNote&gt;&lt;Cite&gt;&lt;Author&gt;Schofield&lt;/Author&gt;&lt;Year&gt;1985&lt;/Year&gt;&lt;RecNum&gt;8655&lt;/RecNum&gt;&lt;DisplayText&gt;(Schofield, 1985)&lt;/DisplayText&gt;&lt;record&gt;&lt;rec-number&gt;8655&lt;/rec-number&gt;&lt;foreign-keys&gt;&lt;key app="EN" db-id="5ewstwwz7vwaeaee0wbx0tfgw2z2esdfea2t" timestamp="1569398670"&gt;8655&lt;/key&gt;&lt;/foreign-keys&gt;&lt;ref-type name="Journal Article"&gt;17&lt;/ref-type&gt;&lt;contributors&gt;&lt;authors&gt;&lt;author&gt;Schofield, W. N.&lt;/author&gt;&lt;/authors&gt;&lt;/contributors&gt;&lt;titles&gt;&lt;title&gt;Predicting basal metabolic rate, new standards and review of previous work&lt;/title&gt;&lt;secondary-title&gt;Hum Nutr Clin Nutr&lt;/secondary-title&gt;&lt;alt-title&gt;Human nutrition. Clinical nutrition&lt;/alt-title&gt;&lt;/titles&gt;&lt;alt-periodical&gt;&lt;full-title&gt;Human nutrition. Clinical nutrition&lt;/full-title&gt;&lt;/alt-periodical&gt;&lt;pages&gt;5-41&lt;/pages&gt;&lt;volume&gt;39 Suppl 1&lt;/volume&gt;&lt;edition&gt;1985/01/01&lt;/edition&gt;&lt;keywords&gt;&lt;keyword&gt;Adolescent&lt;/keyword&gt;&lt;keyword&gt;Adult&lt;/keyword&gt;&lt;keyword&gt;Age Factors&lt;/keyword&gt;&lt;keyword&gt;Aged&lt;/keyword&gt;&lt;keyword&gt;*Basal Metabolism&lt;/keyword&gt;&lt;keyword&gt;Biometry&lt;/keyword&gt;&lt;keyword&gt;Body Weight&lt;/keyword&gt;&lt;keyword&gt;Child&lt;/keyword&gt;&lt;keyword&gt;Child, Preschool&lt;/keyword&gt;&lt;keyword&gt;Dietary Proteins&lt;/keyword&gt;&lt;keyword&gt;Energy Metabolism&lt;/keyword&gt;&lt;keyword&gt;Female&lt;/keyword&gt;&lt;keyword&gt;Humans&lt;/keyword&gt;&lt;keyword&gt;Infant&lt;/keyword&gt;&lt;keyword&gt;Male&lt;/keyword&gt;&lt;keyword&gt;Middle Aged&lt;/keyword&gt;&lt;keyword&gt;Nutritional Requirements&lt;/keyword&gt;&lt;keyword&gt;Regression Analysis&lt;/keyword&gt;&lt;keyword&gt;Sex Factors&lt;/keyword&gt;&lt;/keywords&gt;&lt;dates&gt;&lt;year&gt;1985&lt;/year&gt;&lt;/dates&gt;&lt;isbn&gt;0263-8290 (Print)&amp;#xD;0263-8290&lt;/isbn&gt;&lt;accession-num&gt;4044297&lt;/accession-num&gt;&lt;urls&gt;&lt;/urls&gt;&lt;remote-database-provider&gt;NLM&lt;/remote-database-provider&gt;&lt;language&gt;eng&lt;/language&gt;&lt;/record&gt;&lt;/Cite&gt;&lt;/EndNote&gt;</w:instrText>
      </w:r>
      <w:r w:rsidR="0047503C">
        <w:rPr>
          <w:rFonts w:ascii="Arial" w:hAnsi="Arial" w:cs="Arial"/>
          <w:lang w:val="en-US"/>
        </w:rPr>
        <w:fldChar w:fldCharType="separate"/>
      </w:r>
      <w:r w:rsidR="0047503C">
        <w:rPr>
          <w:rFonts w:ascii="Arial" w:hAnsi="Arial" w:cs="Arial"/>
          <w:noProof/>
          <w:lang w:val="en-US"/>
        </w:rPr>
        <w:t>(Schofield, 1985)</w:t>
      </w:r>
      <w:r w:rsidR="0047503C">
        <w:rPr>
          <w:rFonts w:ascii="Arial" w:hAnsi="Arial" w:cs="Arial"/>
          <w:lang w:val="en-US"/>
        </w:rPr>
        <w:fldChar w:fldCharType="end"/>
      </w:r>
      <w:r w:rsidR="0047503C">
        <w:rPr>
          <w:rFonts w:ascii="Arial" w:hAnsi="Arial" w:cs="Arial"/>
          <w:lang w:val="en-US"/>
        </w:rPr>
        <w:t xml:space="preserve"> </w:t>
      </w:r>
      <w:r w:rsidRPr="004A4398">
        <w:rPr>
          <w:rFonts w:ascii="Arial" w:hAnsi="Arial" w:cs="Arial"/>
        </w:rPr>
        <w:t>which in addition to an average of RMR from Trial A and Trial B calculated these RMR estimates were included for all descriptive and data analysis.</w:t>
      </w:r>
      <w:r w:rsidR="0042633D">
        <w:rPr>
          <w:rFonts w:ascii="Arial" w:hAnsi="Arial" w:cs="Arial"/>
        </w:rPr>
        <w:t xml:space="preserve"> Sensitivity analysis was not performed on these participants.</w:t>
      </w:r>
    </w:p>
    <w:p w14:paraId="7B47F9FC" w14:textId="134E2B1E" w:rsidR="003C7C09" w:rsidRDefault="003C7C09" w:rsidP="004A4398">
      <w:pPr>
        <w:ind w:left="360"/>
        <w:jc w:val="both"/>
        <w:rPr>
          <w:rFonts w:ascii="Arial" w:hAnsi="Arial" w:cs="Arial"/>
        </w:rPr>
      </w:pPr>
    </w:p>
    <w:p w14:paraId="38D8C709" w14:textId="6BF5CA3B" w:rsidR="003C7C09" w:rsidRDefault="003C7C09" w:rsidP="004A4398">
      <w:pPr>
        <w:ind w:left="360"/>
        <w:jc w:val="both"/>
        <w:rPr>
          <w:rFonts w:ascii="Arial" w:hAnsi="Arial" w:cs="Arial"/>
          <w:lang w:val="en-US"/>
        </w:rPr>
      </w:pPr>
      <w:r w:rsidRPr="003C7C09">
        <w:rPr>
          <w:rFonts w:ascii="Arial" w:hAnsi="Arial" w:cs="Arial"/>
          <w:lang w:val="en-US"/>
        </w:rPr>
        <w:t xml:space="preserve">When the assessment of RMR was highly variable for a participant within a trial (e.g. agreements outside +/- 100 kcal of averaged 24-hr resting energy expenditure), RMR estimates for that trial occasionally included gas samples outside this level of agreement. This was evident for </w:t>
      </w:r>
      <w:r w:rsidRPr="001C78C2">
        <w:rPr>
          <w:rFonts w:ascii="Arial" w:hAnsi="Arial" w:cs="Arial"/>
          <w:i/>
          <w:lang w:val="en-US"/>
        </w:rPr>
        <w:t>n</w:t>
      </w:r>
      <w:r w:rsidRPr="003C7C09">
        <w:rPr>
          <w:rFonts w:ascii="Arial" w:hAnsi="Arial" w:cs="Arial"/>
          <w:lang w:val="en-US"/>
        </w:rPr>
        <w:t xml:space="preserve"> = 24 out of 597 expired gas sample collections (&lt;5%; range: 1 to 97 kcal &gt;100 </w:t>
      </w:r>
      <w:r>
        <w:rPr>
          <w:rFonts w:ascii="Arial" w:hAnsi="Arial" w:cs="Arial"/>
          <w:lang w:val="en-US"/>
        </w:rPr>
        <w:t>kcal</w:t>
      </w:r>
      <w:r w:rsidRPr="003C7C09">
        <w:rPr>
          <w:rFonts w:ascii="Arial" w:hAnsi="Arial" w:cs="Arial"/>
        </w:rPr>
        <w:t>·</w:t>
      </w:r>
      <w:r>
        <w:rPr>
          <w:rFonts w:ascii="Arial" w:hAnsi="Arial" w:cs="Arial"/>
        </w:rPr>
        <w:t>day</w:t>
      </w:r>
      <w:r w:rsidRPr="003C7C09">
        <w:rPr>
          <w:rFonts w:ascii="Arial" w:hAnsi="Arial" w:cs="Arial"/>
          <w:vertAlign w:val="superscript"/>
        </w:rPr>
        <w:t>-1</w:t>
      </w:r>
      <w:r w:rsidRPr="003C7C09">
        <w:rPr>
          <w:rFonts w:ascii="Arial" w:hAnsi="Arial" w:cs="Arial"/>
          <w:lang w:val="en-US"/>
        </w:rPr>
        <w:t>). These values were included due to conceptually an average of estimates provides a more accurate assessment of a value, where a clear physiological reason to exclude such bags [e.g. RER &gt; 1 or a known issue in the collection or analysis (leak in a bag, contamination with atmospheric air)] was not apparent.</w:t>
      </w:r>
    </w:p>
    <w:p w14:paraId="4F5C3BA9" w14:textId="2069908C" w:rsidR="00653C81" w:rsidRDefault="00653C81" w:rsidP="004A4398">
      <w:pPr>
        <w:ind w:left="360"/>
        <w:jc w:val="both"/>
        <w:rPr>
          <w:rFonts w:ascii="Arial" w:hAnsi="Arial" w:cs="Arial"/>
          <w:lang w:val="en-US"/>
        </w:rPr>
      </w:pPr>
    </w:p>
    <w:p w14:paraId="0CDB0FA6" w14:textId="77777777" w:rsidR="00653C81" w:rsidRPr="004A4398" w:rsidRDefault="00653C81" w:rsidP="004A4398">
      <w:pPr>
        <w:ind w:left="360"/>
        <w:jc w:val="both"/>
        <w:rPr>
          <w:rFonts w:ascii="Arial" w:hAnsi="Arial" w:cs="Arial"/>
          <w:lang w:val="en-US"/>
        </w:rPr>
      </w:pPr>
    </w:p>
    <w:p w14:paraId="76B0249B" w14:textId="073B5B67" w:rsidR="00B20C81" w:rsidRPr="00F1002F" w:rsidRDefault="00B20C81" w:rsidP="00B20C81">
      <w:pPr>
        <w:jc w:val="both"/>
        <w:rPr>
          <w:rFonts w:ascii="Arial" w:hAnsi="Arial" w:cs="Arial"/>
          <w:b/>
          <w:lang w:val="en-US"/>
        </w:rPr>
      </w:pPr>
    </w:p>
    <w:p w14:paraId="11DA816A" w14:textId="135D985B" w:rsidR="009518A3" w:rsidRPr="00F960CE" w:rsidRDefault="009518A3" w:rsidP="007462DB">
      <w:pPr>
        <w:ind w:firstLine="360"/>
        <w:jc w:val="both"/>
        <w:rPr>
          <w:rFonts w:ascii="Arial" w:hAnsi="Arial" w:cs="Arial"/>
          <w:b/>
          <w:lang w:val="en-US"/>
        </w:rPr>
      </w:pPr>
      <w:r w:rsidRPr="00F960CE">
        <w:rPr>
          <w:rFonts w:ascii="Arial" w:hAnsi="Arial" w:cs="Arial"/>
          <w:b/>
          <w:lang w:val="en-US"/>
        </w:rPr>
        <w:lastRenderedPageBreak/>
        <w:t>Habitual physical activity data</w:t>
      </w:r>
    </w:p>
    <w:p w14:paraId="08AAA7CA" w14:textId="15F3A3DD" w:rsidR="009518A3" w:rsidRPr="00F960CE" w:rsidRDefault="009518A3" w:rsidP="009518A3">
      <w:pPr>
        <w:jc w:val="both"/>
        <w:rPr>
          <w:rFonts w:ascii="Arial" w:hAnsi="Arial" w:cs="Arial"/>
          <w:b/>
          <w:lang w:val="en-US"/>
        </w:rPr>
      </w:pPr>
    </w:p>
    <w:p w14:paraId="3EE20098" w14:textId="276FDEFC" w:rsidR="009518A3" w:rsidRPr="00F960CE" w:rsidRDefault="009518A3" w:rsidP="009518A3">
      <w:pPr>
        <w:pStyle w:val="ListParagraph"/>
        <w:numPr>
          <w:ilvl w:val="0"/>
          <w:numId w:val="5"/>
        </w:numPr>
        <w:jc w:val="both"/>
        <w:rPr>
          <w:rFonts w:ascii="Arial" w:hAnsi="Arial" w:cs="Arial"/>
          <w:lang w:val="en-US"/>
        </w:rPr>
      </w:pPr>
      <w:r w:rsidRPr="00F960CE">
        <w:rPr>
          <w:rFonts w:ascii="Arial" w:hAnsi="Arial" w:cs="Arial"/>
          <w:lang w:val="en-US"/>
        </w:rPr>
        <w:t>ID</w:t>
      </w:r>
      <w:r w:rsidR="00D330FD">
        <w:rPr>
          <w:rFonts w:ascii="Arial" w:hAnsi="Arial" w:cs="Arial"/>
          <w:lang w:val="en-US"/>
        </w:rPr>
        <w:t xml:space="preserve"> </w:t>
      </w:r>
      <w:r w:rsidRPr="00F960CE">
        <w:rPr>
          <w:rFonts w:ascii="Arial" w:hAnsi="Arial" w:cs="Arial"/>
          <w:lang w:val="en-US"/>
        </w:rPr>
        <w:t>11</w:t>
      </w:r>
      <w:r w:rsidR="00D330FD">
        <w:rPr>
          <w:rFonts w:ascii="Arial" w:hAnsi="Arial" w:cs="Arial"/>
          <w:lang w:val="en-US"/>
        </w:rPr>
        <w:t>:</w:t>
      </w:r>
      <w:r w:rsidRPr="00F960CE">
        <w:rPr>
          <w:rFonts w:ascii="Arial" w:hAnsi="Arial" w:cs="Arial"/>
          <w:lang w:val="en-US"/>
        </w:rPr>
        <w:t xml:space="preserve"> estimates of habitual physical activity levels derived from three days</w:t>
      </w:r>
      <w:r w:rsidR="001C78C2" w:rsidRPr="00F960CE">
        <w:rPr>
          <w:rFonts w:ascii="Arial" w:hAnsi="Arial" w:cs="Arial"/>
          <w:lang w:val="en-US"/>
        </w:rPr>
        <w:t xml:space="preserve"> </w:t>
      </w:r>
    </w:p>
    <w:p w14:paraId="706F7A0B" w14:textId="77777777" w:rsidR="001C78C2" w:rsidRDefault="001C78C2" w:rsidP="001C78C2">
      <w:pPr>
        <w:ind w:left="426"/>
        <w:jc w:val="both"/>
        <w:rPr>
          <w:rFonts w:ascii="Arial" w:hAnsi="Arial" w:cs="Arial"/>
          <w:lang w:val="en-US"/>
        </w:rPr>
      </w:pPr>
    </w:p>
    <w:p w14:paraId="4644A9A0" w14:textId="04353AE8" w:rsidR="00887596" w:rsidRPr="00887596" w:rsidRDefault="00887596" w:rsidP="00887596">
      <w:pPr>
        <w:ind w:left="426"/>
        <w:jc w:val="both"/>
        <w:rPr>
          <w:rFonts w:ascii="Arial" w:hAnsi="Arial" w:cs="Arial"/>
        </w:rPr>
      </w:pPr>
      <w:r w:rsidRPr="00887596">
        <w:rPr>
          <w:rFonts w:ascii="Arial" w:hAnsi="Arial" w:cs="Arial"/>
        </w:rPr>
        <w:t>Data on the confirmation of physical activity standardisation prior to Trial A and Trial B</w:t>
      </w:r>
      <w:r>
        <w:rPr>
          <w:rFonts w:ascii="Arial" w:hAnsi="Arial" w:cs="Arial"/>
        </w:rPr>
        <w:t xml:space="preserve"> (i.e. the prior 48 hrs)</w:t>
      </w:r>
      <w:r w:rsidRPr="00887596">
        <w:rPr>
          <w:rFonts w:ascii="Arial" w:hAnsi="Arial" w:cs="Arial"/>
        </w:rPr>
        <w:t xml:space="preserve"> via objective assessment was only available for </w:t>
      </w:r>
      <w:r w:rsidRPr="00887596">
        <w:rPr>
          <w:rFonts w:ascii="Arial" w:hAnsi="Arial" w:cs="Arial"/>
          <w:i/>
        </w:rPr>
        <w:t xml:space="preserve">n </w:t>
      </w:r>
      <w:r w:rsidRPr="00887596">
        <w:rPr>
          <w:rFonts w:ascii="Arial" w:hAnsi="Arial" w:cs="Arial"/>
        </w:rPr>
        <w:t>= 36 out of 99 participants</w:t>
      </w:r>
      <w:r w:rsidR="00852EC2">
        <w:rPr>
          <w:rFonts w:ascii="Arial" w:hAnsi="Arial" w:cs="Arial"/>
        </w:rPr>
        <w:t xml:space="preserve"> (entire sample)</w:t>
      </w:r>
      <w:r w:rsidRPr="00887596">
        <w:rPr>
          <w:rFonts w:ascii="Arial" w:hAnsi="Arial" w:cs="Arial"/>
        </w:rPr>
        <w:t xml:space="preserve">. The missing data for remaining participants was due to recording issues with the </w:t>
      </w:r>
      <w:proofErr w:type="spellStart"/>
      <w:r w:rsidRPr="00887596">
        <w:rPr>
          <w:rFonts w:ascii="Arial" w:hAnsi="Arial" w:cs="Arial"/>
        </w:rPr>
        <w:t>actiheart</w:t>
      </w:r>
      <w:r w:rsidRPr="00887596">
        <w:rPr>
          <w:rFonts w:ascii="Arial" w:hAnsi="Arial" w:cs="Arial"/>
          <w:vertAlign w:val="superscript"/>
        </w:rPr>
        <w:t>TM</w:t>
      </w:r>
      <w:proofErr w:type="spellEnd"/>
      <w:r w:rsidRPr="00887596">
        <w:rPr>
          <w:rFonts w:ascii="Arial" w:hAnsi="Arial" w:cs="Arial"/>
          <w:vertAlign w:val="superscript"/>
        </w:rPr>
        <w:t xml:space="preserve"> </w:t>
      </w:r>
      <w:r w:rsidRPr="00887596">
        <w:rPr>
          <w:rFonts w:ascii="Arial" w:hAnsi="Arial" w:cs="Arial"/>
        </w:rPr>
        <w:t xml:space="preserve">device or collected data not meeting validity criteria as identified above. Of these </w:t>
      </w:r>
      <w:r w:rsidRPr="00887596">
        <w:rPr>
          <w:rFonts w:ascii="Arial" w:hAnsi="Arial" w:cs="Arial"/>
          <w:i/>
        </w:rPr>
        <w:t xml:space="preserve">n </w:t>
      </w:r>
      <w:r w:rsidRPr="00887596">
        <w:rPr>
          <w:rFonts w:ascii="Arial" w:hAnsi="Arial" w:cs="Arial"/>
        </w:rPr>
        <w:t xml:space="preserve">= 36 participants, only </w:t>
      </w:r>
      <w:r w:rsidRPr="00887596">
        <w:rPr>
          <w:rFonts w:ascii="Arial" w:hAnsi="Arial" w:cs="Arial"/>
          <w:i/>
        </w:rPr>
        <w:t xml:space="preserve">n </w:t>
      </w:r>
      <w:r w:rsidRPr="00887596">
        <w:rPr>
          <w:rFonts w:ascii="Arial" w:hAnsi="Arial" w:cs="Arial"/>
        </w:rPr>
        <w:t xml:space="preserve">= 7 participants did not perform any vigorous physical activity in the two days preceding Trial A and Trial B, where total energy expenditure and/or estimated time spent in activity thresholds (&lt;10% variance) across the two days prior to Trial A and Trial B were not matched in any of these </w:t>
      </w:r>
      <w:r w:rsidRPr="00887596">
        <w:rPr>
          <w:rFonts w:ascii="Arial" w:hAnsi="Arial" w:cs="Arial"/>
          <w:i/>
        </w:rPr>
        <w:t xml:space="preserve">n </w:t>
      </w:r>
      <w:r w:rsidRPr="00887596">
        <w:rPr>
          <w:rFonts w:ascii="Arial" w:hAnsi="Arial" w:cs="Arial"/>
        </w:rPr>
        <w:t>= 7 participants. Therefore, the planned sub-group analysis on the objective confirmation of physical activity standardisation was not able to be performed.</w:t>
      </w:r>
    </w:p>
    <w:p w14:paraId="099C2503" w14:textId="77777777" w:rsidR="00887596" w:rsidRPr="00F1002F" w:rsidRDefault="00887596" w:rsidP="001C78C2">
      <w:pPr>
        <w:ind w:left="426"/>
        <w:jc w:val="both"/>
        <w:rPr>
          <w:rFonts w:ascii="Arial" w:hAnsi="Arial" w:cs="Arial"/>
          <w:b/>
          <w:lang w:val="en-US"/>
        </w:rPr>
      </w:pPr>
    </w:p>
    <w:p w14:paraId="0B5BFEB1" w14:textId="46DF001A" w:rsidR="009518A3" w:rsidRPr="00F1002F" w:rsidRDefault="009518A3" w:rsidP="009518A3">
      <w:pPr>
        <w:jc w:val="both"/>
        <w:rPr>
          <w:rFonts w:ascii="Arial" w:hAnsi="Arial" w:cs="Arial"/>
          <w:b/>
          <w:lang w:val="en-US"/>
        </w:rPr>
      </w:pPr>
      <w:r w:rsidRPr="00F1002F">
        <w:rPr>
          <w:rFonts w:ascii="Arial" w:hAnsi="Arial" w:cs="Arial"/>
          <w:b/>
          <w:lang w:val="en-US"/>
        </w:rPr>
        <w:t>Protein content data</w:t>
      </w:r>
    </w:p>
    <w:p w14:paraId="45D36D7B" w14:textId="5B1BD490" w:rsidR="009518A3" w:rsidRPr="00F1002F" w:rsidRDefault="009518A3" w:rsidP="009518A3">
      <w:pPr>
        <w:jc w:val="both"/>
        <w:rPr>
          <w:rFonts w:ascii="Arial" w:hAnsi="Arial" w:cs="Arial"/>
          <w:b/>
          <w:lang w:val="en-US"/>
        </w:rPr>
      </w:pPr>
    </w:p>
    <w:p w14:paraId="6E2B4ABE" w14:textId="1BCBCFF4" w:rsidR="002C2366" w:rsidRPr="00F1002F" w:rsidRDefault="009518A3" w:rsidP="00810A27">
      <w:pPr>
        <w:pStyle w:val="ListParagraph"/>
        <w:numPr>
          <w:ilvl w:val="0"/>
          <w:numId w:val="5"/>
        </w:numPr>
        <w:jc w:val="both"/>
        <w:rPr>
          <w:rFonts w:ascii="Arial" w:hAnsi="Arial" w:cs="Arial"/>
          <w:lang w:val="en-US"/>
        </w:rPr>
      </w:pPr>
      <w:r w:rsidRPr="00F1002F">
        <w:rPr>
          <w:rFonts w:ascii="Arial" w:hAnsi="Arial" w:cs="Arial"/>
          <w:lang w:val="en-US"/>
        </w:rPr>
        <w:t xml:space="preserve">ID 27: no total protein content data for </w:t>
      </w:r>
      <w:r w:rsidR="002C2366" w:rsidRPr="00F1002F">
        <w:rPr>
          <w:rFonts w:ascii="Arial" w:hAnsi="Arial" w:cs="Arial"/>
          <w:lang w:val="en-US"/>
        </w:rPr>
        <w:t xml:space="preserve">skeletal muscle </w:t>
      </w:r>
      <w:proofErr w:type="spellStart"/>
      <w:r w:rsidRPr="00F1002F">
        <w:rPr>
          <w:rFonts w:ascii="Arial" w:hAnsi="Arial" w:cs="Arial"/>
          <w:lang w:val="en-US"/>
        </w:rPr>
        <w:t>FABPpm</w:t>
      </w:r>
      <w:proofErr w:type="spellEnd"/>
      <w:r w:rsidRPr="00F1002F">
        <w:rPr>
          <w:rFonts w:ascii="Arial" w:hAnsi="Arial" w:cs="Arial"/>
          <w:lang w:val="en-US"/>
        </w:rPr>
        <w:t xml:space="preserve"> nor </w:t>
      </w:r>
      <w:r w:rsidR="002C2366" w:rsidRPr="00F1002F">
        <w:rPr>
          <w:rFonts w:ascii="Arial" w:hAnsi="Arial" w:cs="Arial"/>
          <w:lang w:val="en-US"/>
        </w:rPr>
        <w:t xml:space="preserve">skeletal muscle </w:t>
      </w:r>
      <w:r w:rsidRPr="00F1002F">
        <w:rPr>
          <w:rFonts w:ascii="Arial" w:hAnsi="Arial" w:cs="Arial"/>
          <w:lang w:val="en-US"/>
        </w:rPr>
        <w:t xml:space="preserve">ACSL1 due to issue with </w:t>
      </w:r>
      <w:r w:rsidR="002C2366" w:rsidRPr="00F1002F">
        <w:rPr>
          <w:rFonts w:ascii="Arial" w:hAnsi="Arial" w:cs="Arial"/>
          <w:lang w:val="en-US"/>
        </w:rPr>
        <w:t xml:space="preserve">sample </w:t>
      </w:r>
      <w:r w:rsidRPr="00F1002F">
        <w:rPr>
          <w:rFonts w:ascii="Arial" w:hAnsi="Arial" w:cs="Arial"/>
          <w:lang w:val="en-US"/>
        </w:rPr>
        <w:t xml:space="preserve">on western blot </w:t>
      </w:r>
    </w:p>
    <w:p w14:paraId="0C7D5A88" w14:textId="0DDF5DDA" w:rsidR="009518A3" w:rsidRPr="009D7528" w:rsidRDefault="002C2366" w:rsidP="00810A27">
      <w:pPr>
        <w:pStyle w:val="ListParagraph"/>
        <w:numPr>
          <w:ilvl w:val="0"/>
          <w:numId w:val="5"/>
        </w:numPr>
        <w:jc w:val="both"/>
        <w:rPr>
          <w:rFonts w:ascii="Arial" w:hAnsi="Arial" w:cs="Arial"/>
          <w:lang w:val="en-US"/>
        </w:rPr>
      </w:pPr>
      <w:r w:rsidRPr="00F1002F">
        <w:rPr>
          <w:rFonts w:ascii="Arial" w:hAnsi="Arial" w:cs="Arial"/>
          <w:lang w:val="en-US"/>
        </w:rPr>
        <w:t>I</w:t>
      </w:r>
      <w:r w:rsidR="009518A3" w:rsidRPr="00F1002F">
        <w:rPr>
          <w:rFonts w:ascii="Arial" w:hAnsi="Arial" w:cs="Arial"/>
          <w:lang w:val="en-US"/>
        </w:rPr>
        <w:t>D</w:t>
      </w:r>
      <w:r w:rsidRPr="00F1002F">
        <w:rPr>
          <w:rFonts w:ascii="Arial" w:hAnsi="Arial" w:cs="Arial"/>
          <w:lang w:val="en-US"/>
        </w:rPr>
        <w:t>s</w:t>
      </w:r>
      <w:r w:rsidR="009518A3" w:rsidRPr="00F1002F">
        <w:rPr>
          <w:rFonts w:ascii="Arial" w:hAnsi="Arial" w:cs="Arial"/>
          <w:lang w:val="en-US"/>
        </w:rPr>
        <w:t xml:space="preserve"> 6, 9, 31, 46,</w:t>
      </w:r>
      <w:r w:rsidR="00FE2861" w:rsidRPr="00F1002F">
        <w:rPr>
          <w:rFonts w:ascii="Arial" w:hAnsi="Arial" w:cs="Arial"/>
          <w:lang w:val="en-US"/>
        </w:rPr>
        <w:t xml:space="preserve"> </w:t>
      </w:r>
      <w:r w:rsidR="009518A3" w:rsidRPr="00F1002F">
        <w:rPr>
          <w:rFonts w:ascii="Arial" w:hAnsi="Arial" w:cs="Arial"/>
          <w:lang w:val="en-US"/>
        </w:rPr>
        <w:t xml:space="preserve">65, 80: total protein content of skeletal </w:t>
      </w:r>
      <w:r w:rsidR="009518A3" w:rsidRPr="009D7528">
        <w:rPr>
          <w:rFonts w:ascii="Arial" w:hAnsi="Arial" w:cs="Arial"/>
          <w:lang w:val="en-US"/>
        </w:rPr>
        <w:t xml:space="preserve">muscle </w:t>
      </w:r>
      <w:proofErr w:type="spellStart"/>
      <w:r w:rsidR="009518A3" w:rsidRPr="009D7528">
        <w:rPr>
          <w:rFonts w:ascii="Arial" w:hAnsi="Arial" w:cs="Arial"/>
          <w:lang w:val="en-US"/>
        </w:rPr>
        <w:t>oestrogen</w:t>
      </w:r>
      <w:proofErr w:type="spellEnd"/>
      <w:r w:rsidR="009518A3" w:rsidRPr="009D7528">
        <w:rPr>
          <w:rFonts w:ascii="Arial" w:hAnsi="Arial" w:cs="Arial"/>
          <w:lang w:val="en-US"/>
        </w:rPr>
        <w:t xml:space="preserve"> receptor A unable to be quantified due to issue with western blot imaging (streak or saturation)</w:t>
      </w:r>
    </w:p>
    <w:p w14:paraId="55B670BA" w14:textId="4DA8F07B" w:rsidR="009518A3" w:rsidRPr="009D7528" w:rsidRDefault="002C2366" w:rsidP="009518A3">
      <w:pPr>
        <w:pStyle w:val="ListParagraph"/>
        <w:numPr>
          <w:ilvl w:val="0"/>
          <w:numId w:val="5"/>
        </w:numPr>
        <w:jc w:val="both"/>
        <w:rPr>
          <w:rFonts w:ascii="Arial" w:hAnsi="Arial" w:cs="Arial"/>
          <w:lang w:val="en-US"/>
        </w:rPr>
      </w:pPr>
      <w:r w:rsidRPr="009D7528">
        <w:rPr>
          <w:rFonts w:ascii="Arial" w:hAnsi="Arial" w:cs="Arial"/>
          <w:lang w:val="en-US"/>
        </w:rPr>
        <w:t xml:space="preserve">IDs 27, 41, 86, 95: no total protein content data for adipose tissue PLIN 1 due to issue of respective samples on western blot  </w:t>
      </w:r>
    </w:p>
    <w:p w14:paraId="66793953" w14:textId="262F7AA1" w:rsidR="002C2366" w:rsidRDefault="002C2366" w:rsidP="009518A3">
      <w:pPr>
        <w:pStyle w:val="ListParagraph"/>
        <w:numPr>
          <w:ilvl w:val="0"/>
          <w:numId w:val="5"/>
        </w:numPr>
        <w:jc w:val="both"/>
        <w:rPr>
          <w:rFonts w:ascii="Arial" w:hAnsi="Arial" w:cs="Arial"/>
          <w:lang w:val="en-US"/>
        </w:rPr>
      </w:pPr>
      <w:r w:rsidRPr="009D7528">
        <w:rPr>
          <w:rFonts w:ascii="Arial" w:hAnsi="Arial" w:cs="Arial"/>
          <w:lang w:val="en-US"/>
        </w:rPr>
        <w:t xml:space="preserve">IDs 37, 45, 57, 62, 72, 80, 85, 86: no total protein content data for adipose tissue CGI-58 due to issue of respective samples on western blot  </w:t>
      </w:r>
    </w:p>
    <w:p w14:paraId="06802D76" w14:textId="7A3EEAC4" w:rsidR="00D442B1" w:rsidRDefault="00D442B1" w:rsidP="009518A3">
      <w:pPr>
        <w:pStyle w:val="ListParagraph"/>
        <w:numPr>
          <w:ilvl w:val="0"/>
          <w:numId w:val="5"/>
        </w:numPr>
        <w:jc w:val="both"/>
        <w:rPr>
          <w:rFonts w:ascii="Arial" w:hAnsi="Arial" w:cs="Arial"/>
          <w:lang w:val="en-US"/>
        </w:rPr>
      </w:pPr>
      <w:r>
        <w:rPr>
          <w:rFonts w:ascii="Arial" w:hAnsi="Arial" w:cs="Arial"/>
          <w:lang w:val="en-US"/>
        </w:rPr>
        <w:t>IDs</w:t>
      </w:r>
      <w:r w:rsidR="00A15AE3">
        <w:rPr>
          <w:rFonts w:ascii="Arial" w:hAnsi="Arial" w:cs="Arial"/>
          <w:lang w:val="en-US"/>
        </w:rPr>
        <w:t xml:space="preserve"> 45, 65, 83</w:t>
      </w:r>
      <w:r>
        <w:rPr>
          <w:rFonts w:ascii="Arial" w:hAnsi="Arial" w:cs="Arial"/>
          <w:lang w:val="en-US"/>
        </w:rPr>
        <w:t>: adipose tissue protein quantification appeared abnormally low on some assessed proteins. Sensitivity analysis was performed with and without these participants.</w:t>
      </w:r>
    </w:p>
    <w:p w14:paraId="296D6D2A" w14:textId="5EEA3A8D" w:rsidR="00F960CE" w:rsidRDefault="00E702AE" w:rsidP="000830B7">
      <w:pPr>
        <w:pStyle w:val="ListParagraph"/>
        <w:numPr>
          <w:ilvl w:val="0"/>
          <w:numId w:val="5"/>
        </w:numPr>
        <w:jc w:val="both"/>
        <w:rPr>
          <w:rFonts w:ascii="Arial" w:hAnsi="Arial" w:cs="Arial"/>
          <w:lang w:val="en-US"/>
        </w:rPr>
      </w:pPr>
      <w:r>
        <w:rPr>
          <w:rFonts w:ascii="Arial" w:hAnsi="Arial" w:cs="Arial"/>
          <w:lang w:val="en-US"/>
        </w:rPr>
        <w:t>ID 29: Adipose tissue and skeletal muscle biopsy samples taken ~ 6 weeks after Trial C</w:t>
      </w:r>
      <w:r w:rsidR="000830B7">
        <w:rPr>
          <w:rFonts w:ascii="Arial" w:hAnsi="Arial" w:cs="Arial"/>
          <w:lang w:val="en-US"/>
        </w:rPr>
        <w:t xml:space="preserve">. </w:t>
      </w:r>
      <w:r w:rsidR="000830B7" w:rsidRPr="000830B7">
        <w:rPr>
          <w:rFonts w:ascii="Arial" w:hAnsi="Arial" w:cs="Arial"/>
          <w:lang w:val="en-US"/>
        </w:rPr>
        <w:t>This was due to the approval of lidocaine administration not able to be obtained prior to Trial C, where a shorter time-frame was not possible due to the participant being on annual leave and the attempt to control for self-reported menstrual cycle phase.</w:t>
      </w:r>
      <w:r w:rsidR="0092188D">
        <w:rPr>
          <w:rFonts w:ascii="Arial" w:hAnsi="Arial" w:cs="Arial"/>
          <w:lang w:val="en-US"/>
        </w:rPr>
        <w:t xml:space="preserve"> Sensitivity analysis was performed</w:t>
      </w:r>
      <w:r w:rsidR="00E928CB">
        <w:rPr>
          <w:rFonts w:ascii="Arial" w:hAnsi="Arial" w:cs="Arial"/>
          <w:lang w:val="en-US"/>
        </w:rPr>
        <w:t xml:space="preserve"> by including and excluding this participant</w:t>
      </w:r>
      <w:r w:rsidR="0092188D">
        <w:rPr>
          <w:rFonts w:ascii="Arial" w:hAnsi="Arial" w:cs="Arial"/>
          <w:lang w:val="en-US"/>
        </w:rPr>
        <w:t>.</w:t>
      </w:r>
    </w:p>
    <w:p w14:paraId="58685E7C" w14:textId="5EBA66D6" w:rsidR="00DF5BE3" w:rsidRDefault="00DF5BE3" w:rsidP="00DF5BE3">
      <w:pPr>
        <w:jc w:val="both"/>
        <w:rPr>
          <w:rFonts w:ascii="Arial" w:hAnsi="Arial" w:cs="Arial"/>
          <w:lang w:val="en-US"/>
        </w:rPr>
      </w:pPr>
    </w:p>
    <w:p w14:paraId="437BDCD4" w14:textId="77777777" w:rsidR="00957266" w:rsidRDefault="00957266" w:rsidP="00DF5BE3">
      <w:pPr>
        <w:jc w:val="both"/>
        <w:rPr>
          <w:rFonts w:ascii="Arial" w:hAnsi="Arial" w:cs="Arial"/>
          <w:b/>
          <w:lang w:val="en-US"/>
        </w:rPr>
      </w:pPr>
    </w:p>
    <w:p w14:paraId="2CD0363B" w14:textId="77777777" w:rsidR="00957266" w:rsidRDefault="00957266" w:rsidP="00DF5BE3">
      <w:pPr>
        <w:jc w:val="both"/>
        <w:rPr>
          <w:rFonts w:ascii="Arial" w:hAnsi="Arial" w:cs="Arial"/>
          <w:b/>
          <w:lang w:val="en-US"/>
        </w:rPr>
      </w:pPr>
    </w:p>
    <w:p w14:paraId="58DF7866" w14:textId="77777777" w:rsidR="00957266" w:rsidRDefault="00957266" w:rsidP="00DF5BE3">
      <w:pPr>
        <w:jc w:val="both"/>
        <w:rPr>
          <w:rFonts w:ascii="Arial" w:hAnsi="Arial" w:cs="Arial"/>
          <w:b/>
          <w:lang w:val="en-US"/>
        </w:rPr>
      </w:pPr>
    </w:p>
    <w:p w14:paraId="70CDA354" w14:textId="77777777" w:rsidR="00957266" w:rsidRDefault="00957266" w:rsidP="00DF5BE3">
      <w:pPr>
        <w:jc w:val="both"/>
        <w:rPr>
          <w:rFonts w:ascii="Arial" w:hAnsi="Arial" w:cs="Arial"/>
          <w:b/>
          <w:lang w:val="en-US"/>
        </w:rPr>
      </w:pPr>
    </w:p>
    <w:p w14:paraId="3EA0C7BC" w14:textId="77777777" w:rsidR="00957266" w:rsidRDefault="00957266" w:rsidP="00DF5BE3">
      <w:pPr>
        <w:jc w:val="both"/>
        <w:rPr>
          <w:rFonts w:ascii="Arial" w:hAnsi="Arial" w:cs="Arial"/>
          <w:b/>
          <w:lang w:val="en-US"/>
        </w:rPr>
      </w:pPr>
    </w:p>
    <w:p w14:paraId="64FF402C" w14:textId="77777777" w:rsidR="00957266" w:rsidRDefault="00957266" w:rsidP="00DF5BE3">
      <w:pPr>
        <w:jc w:val="both"/>
        <w:rPr>
          <w:rFonts w:ascii="Arial" w:hAnsi="Arial" w:cs="Arial"/>
          <w:b/>
          <w:lang w:val="en-US"/>
        </w:rPr>
      </w:pPr>
    </w:p>
    <w:p w14:paraId="57C1E2BD" w14:textId="77777777" w:rsidR="00957266" w:rsidRDefault="00957266" w:rsidP="00DF5BE3">
      <w:pPr>
        <w:jc w:val="both"/>
        <w:rPr>
          <w:rFonts w:ascii="Arial" w:hAnsi="Arial" w:cs="Arial"/>
          <w:b/>
          <w:lang w:val="en-US"/>
        </w:rPr>
      </w:pPr>
    </w:p>
    <w:p w14:paraId="40917893" w14:textId="77777777" w:rsidR="00957266" w:rsidRDefault="00957266" w:rsidP="00DF5BE3">
      <w:pPr>
        <w:jc w:val="both"/>
        <w:rPr>
          <w:rFonts w:ascii="Arial" w:hAnsi="Arial" w:cs="Arial"/>
          <w:b/>
          <w:lang w:val="en-US"/>
        </w:rPr>
      </w:pPr>
    </w:p>
    <w:p w14:paraId="59DCDED6" w14:textId="3D3BDBD2" w:rsidR="00DF5BE3" w:rsidRPr="00DF5BE3" w:rsidRDefault="00DF5BE3" w:rsidP="00DF5BE3">
      <w:pPr>
        <w:jc w:val="both"/>
        <w:rPr>
          <w:rFonts w:ascii="Arial" w:hAnsi="Arial" w:cs="Arial"/>
          <w:b/>
          <w:lang w:val="en-US"/>
        </w:rPr>
      </w:pPr>
      <w:r w:rsidRPr="00DF5BE3">
        <w:rPr>
          <w:rFonts w:ascii="Arial" w:hAnsi="Arial" w:cs="Arial"/>
          <w:b/>
          <w:lang w:val="en-US"/>
        </w:rPr>
        <w:lastRenderedPageBreak/>
        <w:t>References</w:t>
      </w:r>
    </w:p>
    <w:p w14:paraId="65959393" w14:textId="77777777" w:rsidR="00DF5BE3" w:rsidRPr="00DF5BE3" w:rsidRDefault="00DF5BE3" w:rsidP="00DF5BE3">
      <w:pPr>
        <w:jc w:val="both"/>
        <w:rPr>
          <w:rFonts w:ascii="Arial" w:hAnsi="Arial" w:cs="Arial"/>
          <w:lang w:val="en-US"/>
        </w:rPr>
      </w:pPr>
    </w:p>
    <w:p w14:paraId="38802DB6" w14:textId="77777777" w:rsidR="0047503C" w:rsidRPr="0047503C" w:rsidRDefault="00F960CE" w:rsidP="0047503C">
      <w:pPr>
        <w:pStyle w:val="EndNoteBibliography"/>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47503C" w:rsidRPr="0047503C">
        <w:t xml:space="preserve">Astrand, P.O. &amp; Ryhming, I., 1954. A nomogram for calculation of aerobic capacity (physical fitness) from pulse rate during sub-maximal work. </w:t>
      </w:r>
      <w:r w:rsidR="0047503C" w:rsidRPr="0047503C">
        <w:rPr>
          <w:i/>
        </w:rPr>
        <w:t>J Appl Physiol,</w:t>
      </w:r>
      <w:r w:rsidR="0047503C" w:rsidRPr="0047503C">
        <w:t xml:space="preserve"> 7(2), pp. 218-21.</w:t>
      </w:r>
    </w:p>
    <w:p w14:paraId="7D74C999" w14:textId="77777777" w:rsidR="0047503C" w:rsidRPr="0047503C" w:rsidRDefault="0047503C" w:rsidP="0047503C">
      <w:pPr>
        <w:pStyle w:val="EndNoteBibliography"/>
      </w:pPr>
    </w:p>
    <w:p w14:paraId="1E6D9542" w14:textId="77777777" w:rsidR="0047503C" w:rsidRPr="0047503C" w:rsidRDefault="0047503C" w:rsidP="0047503C">
      <w:pPr>
        <w:pStyle w:val="EndNoteBibliography"/>
      </w:pPr>
      <w:r w:rsidRPr="0047503C">
        <w:t xml:space="preserve">Frandsen, J., Vest, S.D., Ritz, C., Larsen, S., Dela, F. &amp; Helge, J.W., 2019. Plasma free fatty acid concentration is closely tied to whole body peak fat oxidation rate during repeated exercise. </w:t>
      </w:r>
      <w:r w:rsidRPr="0047503C">
        <w:rPr>
          <w:i/>
        </w:rPr>
        <w:t>Journal of Applied Physiology,</w:t>
      </w:r>
      <w:r w:rsidRPr="0047503C">
        <w:t xml:space="preserve"> 126(6), pp. 1563-1571.</w:t>
      </w:r>
    </w:p>
    <w:p w14:paraId="46D2DD41" w14:textId="77777777" w:rsidR="0047503C" w:rsidRPr="0047503C" w:rsidRDefault="0047503C" w:rsidP="0047503C">
      <w:pPr>
        <w:pStyle w:val="EndNoteBibliography"/>
      </w:pPr>
    </w:p>
    <w:p w14:paraId="76D04205" w14:textId="77777777" w:rsidR="0047503C" w:rsidRPr="0047503C" w:rsidRDefault="0047503C" w:rsidP="0047503C">
      <w:pPr>
        <w:pStyle w:val="EndNoteBibliography"/>
      </w:pPr>
      <w:r w:rsidRPr="0047503C">
        <w:t xml:space="preserve">Montain, S.J., Hopper, M.K., Coggan, A.R. &amp; Coyle, E.F., 1991. Exercise metabolism at different time intervals after a meal. </w:t>
      </w:r>
      <w:r w:rsidRPr="0047503C">
        <w:rPr>
          <w:i/>
        </w:rPr>
        <w:t>Journal of applied physiology (Bethesda, Md. : 1985),</w:t>
      </w:r>
      <w:r w:rsidRPr="0047503C">
        <w:t xml:space="preserve"> 70(2), pp. 882-8.</w:t>
      </w:r>
    </w:p>
    <w:p w14:paraId="3DC511DD" w14:textId="77777777" w:rsidR="0047503C" w:rsidRPr="0047503C" w:rsidRDefault="0047503C" w:rsidP="0047503C">
      <w:pPr>
        <w:pStyle w:val="EndNoteBibliography"/>
      </w:pPr>
    </w:p>
    <w:p w14:paraId="439451E2" w14:textId="77777777" w:rsidR="0047503C" w:rsidRPr="0047503C" w:rsidRDefault="0047503C" w:rsidP="0047503C">
      <w:pPr>
        <w:pStyle w:val="EndNoteBibliography"/>
      </w:pPr>
      <w:r w:rsidRPr="0047503C">
        <w:t xml:space="preserve">Schofield, W.N., 1985. Predicting basal metabolic rate, new standards and review of previous work. </w:t>
      </w:r>
      <w:r w:rsidRPr="0047503C">
        <w:rPr>
          <w:i/>
        </w:rPr>
        <w:t>Hum Nutr Clin Nutr,</w:t>
      </w:r>
      <w:r w:rsidRPr="0047503C">
        <w:t xml:space="preserve"> 39 Suppl 1, pp. 5-41.</w:t>
      </w:r>
    </w:p>
    <w:p w14:paraId="67A28E15" w14:textId="77777777" w:rsidR="0047503C" w:rsidRPr="0047503C" w:rsidRDefault="0047503C" w:rsidP="0047503C">
      <w:pPr>
        <w:pStyle w:val="EndNoteBibliography"/>
      </w:pPr>
    </w:p>
    <w:p w14:paraId="65C37CF8" w14:textId="54A0BF84" w:rsidR="00E702AE" w:rsidRPr="009D7528" w:rsidRDefault="00F960CE" w:rsidP="00DF5BE3">
      <w:pPr>
        <w:pStyle w:val="ListParagraph"/>
        <w:ind w:left="1080"/>
        <w:jc w:val="both"/>
        <w:rPr>
          <w:rFonts w:ascii="Arial" w:hAnsi="Arial" w:cs="Arial"/>
          <w:lang w:val="en-US"/>
        </w:rPr>
      </w:pPr>
      <w:r>
        <w:rPr>
          <w:rFonts w:ascii="Arial" w:hAnsi="Arial" w:cs="Arial"/>
          <w:lang w:val="en-US"/>
        </w:rPr>
        <w:fldChar w:fldCharType="end"/>
      </w:r>
    </w:p>
    <w:sectPr w:rsidR="00E702AE" w:rsidRPr="009D7528" w:rsidSect="00922462">
      <w:pgSz w:w="11906" w:h="16838"/>
      <w:pgMar w:top="1440"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2A0"/>
    <w:multiLevelType w:val="hybridMultilevel"/>
    <w:tmpl w:val="EC5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22D"/>
    <w:multiLevelType w:val="hybridMultilevel"/>
    <w:tmpl w:val="F6D8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3087D"/>
    <w:multiLevelType w:val="hybridMultilevel"/>
    <w:tmpl w:val="CDAE2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125938"/>
    <w:multiLevelType w:val="hybridMultilevel"/>
    <w:tmpl w:val="A69C2EE4"/>
    <w:lvl w:ilvl="0" w:tplc="5C2A16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410219"/>
    <w:multiLevelType w:val="hybridMultilevel"/>
    <w:tmpl w:val="A61C2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241FD1"/>
    <w:multiLevelType w:val="hybridMultilevel"/>
    <w:tmpl w:val="9B802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6A7169"/>
    <w:multiLevelType w:val="hybridMultilevel"/>
    <w:tmpl w:val="10784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Ba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wstwwz7vwaeaee0wbx0tfgw2z2esdfea2t&quot;&gt;OCS Endote Library&lt;record-ids&gt;&lt;item&gt;8301&lt;/item&gt;&lt;item&gt;8446&lt;/item&gt;&lt;item&gt;8654&lt;/item&gt;&lt;item&gt;8655&lt;/item&gt;&lt;/record-ids&gt;&lt;/item&gt;&lt;/Libraries&gt;"/>
  </w:docVars>
  <w:rsids>
    <w:rsidRoot w:val="00B42C8B"/>
    <w:rsid w:val="00013AD3"/>
    <w:rsid w:val="00076FE6"/>
    <w:rsid w:val="000830B7"/>
    <w:rsid w:val="00097CA1"/>
    <w:rsid w:val="000C1D32"/>
    <w:rsid w:val="000F644E"/>
    <w:rsid w:val="001002AC"/>
    <w:rsid w:val="001B24E1"/>
    <w:rsid w:val="001C78C2"/>
    <w:rsid w:val="00200815"/>
    <w:rsid w:val="00213D80"/>
    <w:rsid w:val="002304DE"/>
    <w:rsid w:val="00271864"/>
    <w:rsid w:val="002C2366"/>
    <w:rsid w:val="0031644C"/>
    <w:rsid w:val="00321624"/>
    <w:rsid w:val="003275AA"/>
    <w:rsid w:val="00360237"/>
    <w:rsid w:val="0036092B"/>
    <w:rsid w:val="003B6287"/>
    <w:rsid w:val="003C7C09"/>
    <w:rsid w:val="003F2116"/>
    <w:rsid w:val="0042633D"/>
    <w:rsid w:val="00453134"/>
    <w:rsid w:val="00464980"/>
    <w:rsid w:val="0047503C"/>
    <w:rsid w:val="00476AB6"/>
    <w:rsid w:val="00492012"/>
    <w:rsid w:val="004A133B"/>
    <w:rsid w:val="004A4398"/>
    <w:rsid w:val="004D24CA"/>
    <w:rsid w:val="005960B8"/>
    <w:rsid w:val="00653C81"/>
    <w:rsid w:val="00655DED"/>
    <w:rsid w:val="006A10C5"/>
    <w:rsid w:val="007004F3"/>
    <w:rsid w:val="00717EB8"/>
    <w:rsid w:val="007462DB"/>
    <w:rsid w:val="007622B8"/>
    <w:rsid w:val="00774B37"/>
    <w:rsid w:val="00777DEE"/>
    <w:rsid w:val="00785DD0"/>
    <w:rsid w:val="007978EE"/>
    <w:rsid w:val="007E6D74"/>
    <w:rsid w:val="00814FEF"/>
    <w:rsid w:val="008222EC"/>
    <w:rsid w:val="008267BE"/>
    <w:rsid w:val="00834966"/>
    <w:rsid w:val="00845C13"/>
    <w:rsid w:val="00852EC2"/>
    <w:rsid w:val="00887596"/>
    <w:rsid w:val="008A291E"/>
    <w:rsid w:val="008C3801"/>
    <w:rsid w:val="008F191D"/>
    <w:rsid w:val="00911C62"/>
    <w:rsid w:val="0092188D"/>
    <w:rsid w:val="00922462"/>
    <w:rsid w:val="009518A3"/>
    <w:rsid w:val="00957266"/>
    <w:rsid w:val="00985A62"/>
    <w:rsid w:val="009D2A15"/>
    <w:rsid w:val="009D7528"/>
    <w:rsid w:val="00A06FC4"/>
    <w:rsid w:val="00A15AE3"/>
    <w:rsid w:val="00A55135"/>
    <w:rsid w:val="00AA34AE"/>
    <w:rsid w:val="00AB13A6"/>
    <w:rsid w:val="00B02B40"/>
    <w:rsid w:val="00B072D2"/>
    <w:rsid w:val="00B20C81"/>
    <w:rsid w:val="00B42C8B"/>
    <w:rsid w:val="00B93282"/>
    <w:rsid w:val="00BD7C50"/>
    <w:rsid w:val="00BF752F"/>
    <w:rsid w:val="00C3470A"/>
    <w:rsid w:val="00CA65F3"/>
    <w:rsid w:val="00CD3181"/>
    <w:rsid w:val="00D330FD"/>
    <w:rsid w:val="00D36A41"/>
    <w:rsid w:val="00D442B1"/>
    <w:rsid w:val="00D50B91"/>
    <w:rsid w:val="00D54A7E"/>
    <w:rsid w:val="00D84834"/>
    <w:rsid w:val="00DA6589"/>
    <w:rsid w:val="00DF2A5A"/>
    <w:rsid w:val="00DF552C"/>
    <w:rsid w:val="00DF5BE3"/>
    <w:rsid w:val="00E332F6"/>
    <w:rsid w:val="00E53C54"/>
    <w:rsid w:val="00E702AE"/>
    <w:rsid w:val="00E928CB"/>
    <w:rsid w:val="00E9352F"/>
    <w:rsid w:val="00EB0465"/>
    <w:rsid w:val="00EC0227"/>
    <w:rsid w:val="00ED6419"/>
    <w:rsid w:val="00EE1877"/>
    <w:rsid w:val="00EE4F3D"/>
    <w:rsid w:val="00F1002F"/>
    <w:rsid w:val="00F960CE"/>
    <w:rsid w:val="00FA364C"/>
    <w:rsid w:val="00FE28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6D21"/>
  <w15:chartTrackingRefBased/>
  <w15:docId w15:val="{67D861A9-95D4-40D0-9980-0CE3960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B42C8B"/>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eastAsia="en-GB"/>
    </w:rPr>
  </w:style>
  <w:style w:type="character" w:customStyle="1" w:styleId="BodyChar">
    <w:name w:val="Body Char"/>
    <w:link w:val="Body"/>
    <w:rsid w:val="00B42C8B"/>
    <w:rPr>
      <w:rFonts w:ascii="Arial" w:eastAsia="Arial Unicode MS" w:hAnsi="Arial" w:cs="Arial Unicode MS"/>
      <w:color w:val="000000"/>
      <w:sz w:val="24"/>
      <w:szCs w:val="24"/>
      <w:u w:color="000000"/>
      <w:bdr w:val="nil"/>
      <w:lang w:val="de-DE" w:eastAsia="en-GB"/>
    </w:rPr>
  </w:style>
  <w:style w:type="character" w:styleId="Hyperlink">
    <w:name w:val="Hyperlink"/>
    <w:basedOn w:val="DefaultParagraphFont"/>
    <w:uiPriority w:val="99"/>
    <w:unhideWhenUsed/>
    <w:rsid w:val="00B42C8B"/>
    <w:rPr>
      <w:color w:val="0563C1" w:themeColor="hyperlink"/>
      <w:u w:val="single"/>
    </w:rPr>
  </w:style>
  <w:style w:type="character" w:customStyle="1" w:styleId="UnresolvedMention1">
    <w:name w:val="Unresolved Mention1"/>
    <w:basedOn w:val="DefaultParagraphFont"/>
    <w:uiPriority w:val="99"/>
    <w:semiHidden/>
    <w:unhideWhenUsed/>
    <w:rsid w:val="00B42C8B"/>
    <w:rPr>
      <w:color w:val="605E5C"/>
      <w:shd w:val="clear" w:color="auto" w:fill="E1DFDD"/>
    </w:rPr>
  </w:style>
  <w:style w:type="character" w:styleId="CommentReference">
    <w:name w:val="annotation reference"/>
    <w:basedOn w:val="DefaultParagraphFont"/>
    <w:uiPriority w:val="99"/>
    <w:semiHidden/>
    <w:unhideWhenUsed/>
    <w:rsid w:val="00985A62"/>
    <w:rPr>
      <w:sz w:val="16"/>
      <w:szCs w:val="16"/>
    </w:rPr>
  </w:style>
  <w:style w:type="paragraph" w:styleId="CommentText">
    <w:name w:val="annotation text"/>
    <w:basedOn w:val="Normal"/>
    <w:link w:val="CommentTextChar"/>
    <w:uiPriority w:val="99"/>
    <w:semiHidden/>
    <w:unhideWhenUsed/>
    <w:rsid w:val="00985A62"/>
    <w:rPr>
      <w:sz w:val="20"/>
      <w:szCs w:val="20"/>
    </w:rPr>
  </w:style>
  <w:style w:type="character" w:customStyle="1" w:styleId="CommentTextChar">
    <w:name w:val="Comment Text Char"/>
    <w:basedOn w:val="DefaultParagraphFont"/>
    <w:link w:val="CommentText"/>
    <w:uiPriority w:val="99"/>
    <w:semiHidden/>
    <w:rsid w:val="00985A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A62"/>
    <w:rPr>
      <w:b/>
      <w:bCs/>
    </w:rPr>
  </w:style>
  <w:style w:type="character" w:customStyle="1" w:styleId="CommentSubjectChar">
    <w:name w:val="Comment Subject Char"/>
    <w:basedOn w:val="CommentTextChar"/>
    <w:link w:val="CommentSubject"/>
    <w:uiPriority w:val="99"/>
    <w:semiHidden/>
    <w:rsid w:val="00985A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5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62"/>
    <w:rPr>
      <w:rFonts w:ascii="Segoe UI" w:eastAsia="Times New Roman" w:hAnsi="Segoe UI" w:cs="Segoe UI"/>
      <w:sz w:val="18"/>
      <w:szCs w:val="18"/>
    </w:rPr>
  </w:style>
  <w:style w:type="paragraph" w:styleId="ListParagraph">
    <w:name w:val="List Paragraph"/>
    <w:basedOn w:val="Normal"/>
    <w:link w:val="ListParagraphChar"/>
    <w:uiPriority w:val="34"/>
    <w:qFormat/>
    <w:rsid w:val="00B02B40"/>
    <w:pPr>
      <w:ind w:left="720"/>
      <w:contextualSpacing/>
    </w:pPr>
  </w:style>
  <w:style w:type="paragraph" w:customStyle="1" w:styleId="EndNoteBibliographyTitle">
    <w:name w:val="EndNote Bibliography Title"/>
    <w:basedOn w:val="Normal"/>
    <w:link w:val="EndNoteBibliographyTitleChar"/>
    <w:rsid w:val="00F960CE"/>
    <w:pPr>
      <w:jc w:val="center"/>
    </w:pPr>
    <w:rPr>
      <w:noProof/>
      <w:lang w:val="en-US"/>
    </w:rPr>
  </w:style>
  <w:style w:type="character" w:customStyle="1" w:styleId="ListParagraphChar">
    <w:name w:val="List Paragraph Char"/>
    <w:basedOn w:val="DefaultParagraphFont"/>
    <w:link w:val="ListParagraph"/>
    <w:uiPriority w:val="34"/>
    <w:rsid w:val="00F960CE"/>
    <w:rPr>
      <w:rFonts w:ascii="Times New Roman" w:eastAsia="Times New Roman" w:hAnsi="Times New Roman" w:cs="Times New Roman"/>
      <w:sz w:val="24"/>
      <w:szCs w:val="24"/>
    </w:rPr>
  </w:style>
  <w:style w:type="character" w:customStyle="1" w:styleId="EndNoteBibliographyTitleChar">
    <w:name w:val="EndNote Bibliography Title Char"/>
    <w:basedOn w:val="ListParagraphChar"/>
    <w:link w:val="EndNoteBibliographyTitle"/>
    <w:rsid w:val="00F960CE"/>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960CE"/>
    <w:pPr>
      <w:jc w:val="both"/>
    </w:pPr>
    <w:rPr>
      <w:noProof/>
      <w:lang w:val="en-US"/>
    </w:rPr>
  </w:style>
  <w:style w:type="character" w:customStyle="1" w:styleId="EndNoteBibliographyChar">
    <w:name w:val="EndNote Bibliography Char"/>
    <w:basedOn w:val="ListParagraphChar"/>
    <w:link w:val="EndNoteBibliography"/>
    <w:rsid w:val="00F960CE"/>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Chrzanowski-Smith</dc:creator>
  <cp:keywords/>
  <dc:description/>
  <cp:lastModifiedBy>Oliver Chrzanowski-Smith</cp:lastModifiedBy>
  <cp:revision>19</cp:revision>
  <dcterms:created xsi:type="dcterms:W3CDTF">2019-11-06T10:54:00Z</dcterms:created>
  <dcterms:modified xsi:type="dcterms:W3CDTF">2019-11-06T11:46:00Z</dcterms:modified>
</cp:coreProperties>
</file>