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FBFC" w14:textId="70F771B0" w:rsidR="00C578A0" w:rsidRDefault="00C578A0">
      <w:pPr>
        <w:rPr>
          <w:b/>
          <w:u w:val="single"/>
        </w:rPr>
      </w:pPr>
      <w:r>
        <w:rPr>
          <w:b/>
          <w:u w:val="single"/>
        </w:rPr>
        <w:t xml:space="preserve">Info for readme file to accompany </w:t>
      </w:r>
      <w:r w:rsidR="006C28E9">
        <w:rPr>
          <w:b/>
          <w:i/>
          <w:u w:val="single"/>
        </w:rPr>
        <w:t>A</w:t>
      </w:r>
      <w:r w:rsidR="00CA53DE">
        <w:rPr>
          <w:b/>
          <w:i/>
          <w:u w:val="single"/>
        </w:rPr>
        <w:t>AAS</w:t>
      </w:r>
      <w:r>
        <w:rPr>
          <w:b/>
          <w:u w:val="single"/>
        </w:rPr>
        <w:t xml:space="preserve"> data archive</w:t>
      </w:r>
    </w:p>
    <w:p w14:paraId="6F80FA9D" w14:textId="77777777" w:rsidR="00C578A0" w:rsidRDefault="00C578A0">
      <w:pPr>
        <w:rPr>
          <w:b/>
          <w:u w:val="single"/>
        </w:rPr>
      </w:pPr>
    </w:p>
    <w:p w14:paraId="421B53D8" w14:textId="6C9667B2" w:rsidR="001C6218" w:rsidRPr="004870A3" w:rsidRDefault="001C6218" w:rsidP="00FD0998">
      <w:pPr>
        <w:jc w:val="both"/>
      </w:pPr>
      <w:r>
        <w:t xml:space="preserve">Archived data pertaining to article: </w:t>
      </w:r>
      <w:r w:rsidR="004870A3" w:rsidRPr="002A1BEF">
        <w:t>Templeman I., Smith H. A., Chowdhury E. A., Chen Y. C., Carroll H. A., Johnson-Bonson D., Hengist A., Smith R., Creighton J., Clayton D. J., Varley I., Karagounis L. G., Wilhelmsen A., Tsintzas K., Reeves S., Walhin J. P., Gonzalez J. T., Thompson D. &amp; Betts J.A.</w:t>
      </w:r>
      <w:r w:rsidR="00714FE6">
        <w:t xml:space="preserve"> (2021)</w:t>
      </w:r>
      <w:r w:rsidR="004870A3" w:rsidRPr="002A1BEF">
        <w:t xml:space="preserve"> </w:t>
      </w:r>
      <w:r w:rsidR="00AC31BA" w:rsidRPr="00AC31BA">
        <w:rPr>
          <w:b/>
          <w:bCs/>
        </w:rPr>
        <w:t>Interactive effects of fasting &amp; energy restriction on energy balance &amp; metabolic health: a randomized controlled trial in lean adults.</w:t>
      </w:r>
      <w:r w:rsidR="00EC65EC">
        <w:rPr>
          <w:b/>
          <w:bCs/>
        </w:rPr>
        <w:t xml:space="preserve"> </w:t>
      </w:r>
      <w:r w:rsidR="00AC31BA">
        <w:t xml:space="preserve"> </w:t>
      </w:r>
      <w:r w:rsidR="00714FE6">
        <w:rPr>
          <w:i/>
          <w:color w:val="000000"/>
        </w:rPr>
        <w:t>Science Translational Medicine.</w:t>
      </w:r>
    </w:p>
    <w:p w14:paraId="2D6C5438" w14:textId="77777777" w:rsidR="001C6218" w:rsidRDefault="001C6218" w:rsidP="00FD0998">
      <w:pPr>
        <w:jc w:val="both"/>
        <w:rPr>
          <w:b/>
          <w:color w:val="000000"/>
        </w:rPr>
      </w:pPr>
    </w:p>
    <w:p w14:paraId="0450AAE4" w14:textId="570A9E5D" w:rsidR="00B65254" w:rsidRDefault="00B65254" w:rsidP="00FD0998">
      <w:pPr>
        <w:jc w:val="both"/>
        <w:rPr>
          <w:color w:val="FF0000"/>
        </w:rPr>
      </w:pPr>
      <w:r w:rsidRPr="004E42FA">
        <w:rPr>
          <w:color w:val="000000" w:themeColor="text1"/>
        </w:rPr>
        <w:t xml:space="preserve">The trial is registered </w:t>
      </w:r>
      <w:r w:rsidR="004E42FA" w:rsidRPr="004E42FA">
        <w:rPr>
          <w:color w:val="000000" w:themeColor="text1"/>
        </w:rPr>
        <w:t xml:space="preserve">and </w:t>
      </w:r>
      <w:r w:rsidRPr="004E42FA">
        <w:rPr>
          <w:color w:val="000000" w:themeColor="text1"/>
        </w:rPr>
        <w:t>available</w:t>
      </w:r>
      <w:r w:rsidR="004E42FA" w:rsidRPr="004E42FA">
        <w:rPr>
          <w:color w:val="000000" w:themeColor="text1"/>
        </w:rPr>
        <w:t xml:space="preserve"> to view at</w:t>
      </w:r>
      <w:r w:rsidRPr="004E42FA">
        <w:rPr>
          <w:color w:val="000000" w:themeColor="text1"/>
        </w:rPr>
        <w:t xml:space="preserve"> </w:t>
      </w:r>
      <w:hyperlink r:id="rId7" w:history="1">
        <w:r w:rsidRPr="00B65254">
          <w:rPr>
            <w:rStyle w:val="Hyperlink"/>
            <w:color w:val="auto"/>
          </w:rPr>
          <w:t>www.clinicaltrials.gov</w:t>
        </w:r>
      </w:hyperlink>
      <w:r w:rsidRPr="00B65254">
        <w:t xml:space="preserve"> (ref: </w:t>
      </w:r>
      <w:r w:rsidRPr="009A19A7">
        <w:t>NCT02498002</w:t>
      </w:r>
      <w:r>
        <w:t>).</w:t>
      </w:r>
    </w:p>
    <w:p w14:paraId="68847D15" w14:textId="77777777" w:rsidR="001C6218" w:rsidRDefault="001C6218" w:rsidP="00FD0998">
      <w:pPr>
        <w:jc w:val="both"/>
        <w:rPr>
          <w:color w:val="000000" w:themeColor="text1"/>
        </w:rPr>
      </w:pPr>
    </w:p>
    <w:p w14:paraId="3DBF7222" w14:textId="4F8803C1" w:rsidR="001C6218" w:rsidRPr="000D1C3B" w:rsidRDefault="00257B9A" w:rsidP="000D1C3B">
      <w:pPr>
        <w:jc w:val="both"/>
      </w:pPr>
      <w:r w:rsidRPr="00C83371">
        <w:rPr>
          <w:color w:val="000000" w:themeColor="text1"/>
        </w:rPr>
        <w:t xml:space="preserve">The precise details of and justifications for the experimental design and protocol adopted has been published as follows: </w:t>
      </w:r>
      <w:r w:rsidR="00B14EC5" w:rsidRPr="00C83371">
        <w:rPr>
          <w:color w:val="000000" w:themeColor="text1"/>
        </w:rPr>
        <w:t xml:space="preserve">Templeman, I., </w:t>
      </w:r>
      <w:r w:rsidR="001C6218" w:rsidRPr="00C83371">
        <w:rPr>
          <w:color w:val="000000" w:themeColor="text1"/>
        </w:rPr>
        <w:t xml:space="preserve">Thompson D., </w:t>
      </w:r>
      <w:r w:rsidR="00B14EC5" w:rsidRPr="00C83371">
        <w:rPr>
          <w:color w:val="000000" w:themeColor="text1"/>
        </w:rPr>
        <w:t xml:space="preserve">Gonzalez, J.T., Walhin, J.P., Reeves, S., </w:t>
      </w:r>
      <w:r w:rsidR="00107E68" w:rsidRPr="00C83371">
        <w:rPr>
          <w:color w:val="000000" w:themeColor="text1"/>
        </w:rPr>
        <w:t xml:space="preserve">Rogers, P.J., Brunstrom, J.M., Karagounis, L.G., </w:t>
      </w:r>
      <w:r w:rsidR="001C6218" w:rsidRPr="00C83371">
        <w:rPr>
          <w:color w:val="000000" w:themeColor="text1"/>
        </w:rPr>
        <w:t>Tsintzas K.</w:t>
      </w:r>
      <w:r w:rsidR="00107E68" w:rsidRPr="00C83371">
        <w:rPr>
          <w:color w:val="000000" w:themeColor="text1"/>
        </w:rPr>
        <w:t>, Betts, J.A.</w:t>
      </w:r>
      <w:r w:rsidR="001C6218" w:rsidRPr="00C83371">
        <w:rPr>
          <w:color w:val="000000" w:themeColor="text1"/>
        </w:rPr>
        <w:t xml:space="preserve"> (201</w:t>
      </w:r>
      <w:r w:rsidR="00107E68" w:rsidRPr="00C83371">
        <w:rPr>
          <w:color w:val="000000" w:themeColor="text1"/>
        </w:rPr>
        <w:t>8</w:t>
      </w:r>
      <w:r w:rsidR="001C6218" w:rsidRPr="00C83371">
        <w:rPr>
          <w:color w:val="000000" w:themeColor="text1"/>
        </w:rPr>
        <w:t xml:space="preserve">) </w:t>
      </w:r>
      <w:r w:rsidR="00107E68" w:rsidRPr="00C83371">
        <w:rPr>
          <w:color w:val="000000" w:themeColor="text1"/>
        </w:rPr>
        <w:t xml:space="preserve">Intermittent fasting, energy balance and associated health outcomes in adults: study protocol for a </w:t>
      </w:r>
      <w:r w:rsidR="00107E68" w:rsidRPr="000D1C3B">
        <w:rPr>
          <w:color w:val="000000" w:themeColor="text1"/>
        </w:rPr>
        <w:t xml:space="preserve">randomised controlled trial. </w:t>
      </w:r>
      <w:r w:rsidR="001C6218" w:rsidRPr="000D1C3B">
        <w:rPr>
          <w:i/>
          <w:color w:val="000000" w:themeColor="text1"/>
        </w:rPr>
        <w:t xml:space="preserve">Trials </w:t>
      </w:r>
      <w:r w:rsidR="001C6218" w:rsidRPr="000D1C3B">
        <w:rPr>
          <w:color w:val="000000" w:themeColor="text1"/>
        </w:rPr>
        <w:t>1</w:t>
      </w:r>
      <w:r w:rsidR="00107E68" w:rsidRPr="000D1C3B">
        <w:rPr>
          <w:color w:val="000000" w:themeColor="text1"/>
        </w:rPr>
        <w:t xml:space="preserve">9 </w:t>
      </w:r>
      <w:r w:rsidR="00395BB8" w:rsidRPr="000D1C3B">
        <w:rPr>
          <w:color w:val="000000" w:themeColor="text1"/>
        </w:rPr>
        <w:t xml:space="preserve">(1): </w:t>
      </w:r>
      <w:r w:rsidR="00107E68" w:rsidRPr="000D1C3B">
        <w:rPr>
          <w:color w:val="000000" w:themeColor="text1"/>
        </w:rPr>
        <w:t>8</w:t>
      </w:r>
      <w:r w:rsidR="000D1C3B" w:rsidRPr="000D1C3B">
        <w:rPr>
          <w:color w:val="000000" w:themeColor="text1"/>
        </w:rPr>
        <w:t xml:space="preserve">6. </w:t>
      </w:r>
      <w:r w:rsidR="000D1C3B" w:rsidRPr="000D1C3B">
        <w:rPr>
          <w:color w:val="000000" w:themeColor="text1"/>
          <w:shd w:val="clear" w:color="auto" w:fill="FFFFFF"/>
        </w:rPr>
        <w:t>doi: 10.1186/s13063-018-2451-8</w:t>
      </w:r>
    </w:p>
    <w:p w14:paraId="748A6494" w14:textId="77777777" w:rsidR="001C6218" w:rsidRDefault="001C6218" w:rsidP="00FD0998">
      <w:pPr>
        <w:jc w:val="both"/>
      </w:pPr>
    </w:p>
    <w:p w14:paraId="7C4186FC" w14:textId="257E2B2F" w:rsidR="00B65F4A" w:rsidRPr="009D58F2" w:rsidRDefault="009C28EE" w:rsidP="00DC6EFC">
      <w:pPr>
        <w:tabs>
          <w:tab w:val="left" w:pos="2977"/>
        </w:tabs>
        <w:jc w:val="both"/>
        <w:rPr>
          <w:color w:val="000000" w:themeColor="text1"/>
        </w:rPr>
      </w:pPr>
      <w:r w:rsidRPr="009D58F2">
        <w:rPr>
          <w:color w:val="000000" w:themeColor="text1"/>
        </w:rPr>
        <w:t xml:space="preserve">As described in </w:t>
      </w:r>
      <w:r w:rsidR="00BE0C41" w:rsidRPr="009D58F2">
        <w:rPr>
          <w:color w:val="000000" w:themeColor="text1"/>
        </w:rPr>
        <w:t>the above</w:t>
      </w:r>
      <w:r w:rsidR="00A81F04">
        <w:rPr>
          <w:color w:val="000000" w:themeColor="text1"/>
        </w:rPr>
        <w:t xml:space="preserve"> cited</w:t>
      </w:r>
      <w:r w:rsidR="00BE0C41" w:rsidRPr="009D58F2">
        <w:rPr>
          <w:color w:val="000000" w:themeColor="text1"/>
        </w:rPr>
        <w:t xml:space="preserve"> </w:t>
      </w:r>
      <w:r w:rsidRPr="009D58F2">
        <w:rPr>
          <w:color w:val="000000" w:themeColor="text1"/>
        </w:rPr>
        <w:t>protocol</w:t>
      </w:r>
      <w:r w:rsidR="00BE0C41" w:rsidRPr="009D58F2">
        <w:rPr>
          <w:color w:val="000000" w:themeColor="text1"/>
        </w:rPr>
        <w:t>, a</w:t>
      </w:r>
      <w:r w:rsidR="00257B9A" w:rsidRPr="009D58F2">
        <w:rPr>
          <w:color w:val="000000" w:themeColor="text1"/>
        </w:rPr>
        <w:t>ll blood parameters reported in the associated data archive relate to venous samples drawn</w:t>
      </w:r>
      <w:r w:rsidR="00C83371" w:rsidRPr="009D58F2">
        <w:rPr>
          <w:color w:val="000000" w:themeColor="text1"/>
        </w:rPr>
        <w:t xml:space="preserve"> during the preliminary visit (Baseline)</w:t>
      </w:r>
      <w:r w:rsidR="003C4D93" w:rsidRPr="009D58F2">
        <w:rPr>
          <w:color w:val="000000" w:themeColor="text1"/>
        </w:rPr>
        <w:t>, in a</w:t>
      </w:r>
      <w:r w:rsidR="008976DE" w:rsidRPr="009D58F2">
        <w:rPr>
          <w:color w:val="000000" w:themeColor="text1"/>
        </w:rPr>
        <w:t xml:space="preserve"> ~10 h </w:t>
      </w:r>
      <w:r w:rsidR="003C4D93" w:rsidRPr="009D58F2">
        <w:rPr>
          <w:color w:val="000000" w:themeColor="text1"/>
        </w:rPr>
        <w:t>overnight fasted state (Pre and Post)</w:t>
      </w:r>
      <w:r w:rsidR="008976DE" w:rsidRPr="009D58F2">
        <w:rPr>
          <w:color w:val="000000" w:themeColor="text1"/>
        </w:rPr>
        <w:t xml:space="preserve"> and at regular intervals following a standardised breakfast and lunch</w:t>
      </w:r>
      <w:r w:rsidR="005B6EDF" w:rsidRPr="009D58F2">
        <w:rPr>
          <w:color w:val="000000" w:themeColor="text1"/>
        </w:rPr>
        <w:t xml:space="preserve"> both before and after the intervention</w:t>
      </w:r>
      <w:r w:rsidR="000D1C3B">
        <w:rPr>
          <w:color w:val="000000" w:themeColor="text1"/>
        </w:rPr>
        <w:t>.</w:t>
      </w:r>
      <w:r w:rsidR="008976DE" w:rsidRPr="009D58F2">
        <w:rPr>
          <w:color w:val="000000" w:themeColor="text1"/>
        </w:rPr>
        <w:t xml:space="preserve">  Both</w:t>
      </w:r>
      <w:r w:rsidR="00B65F4A" w:rsidRPr="009D58F2">
        <w:rPr>
          <w:color w:val="000000" w:themeColor="text1"/>
        </w:rPr>
        <w:t xml:space="preserve"> intra- and inter-assay/plate coefficients of variation reported below for each parameter.</w:t>
      </w:r>
    </w:p>
    <w:p w14:paraId="78E4703F" w14:textId="77777777" w:rsidR="00177CB8" w:rsidRDefault="00177CB8" w:rsidP="00FD0998">
      <w:pPr>
        <w:jc w:val="both"/>
      </w:pPr>
    </w:p>
    <w:p w14:paraId="6EB32715" w14:textId="582297F7" w:rsidR="00177CB8" w:rsidRDefault="00177CB8" w:rsidP="00FD0998">
      <w:pPr>
        <w:jc w:val="both"/>
      </w:pPr>
      <w:r>
        <w:t xml:space="preserve">Any missing data-points are denoted as </w:t>
      </w:r>
      <w:r w:rsidR="00DB54C2" w:rsidRPr="00A81F04">
        <w:rPr>
          <w:color w:val="000000" w:themeColor="text1"/>
        </w:rPr>
        <w:t>‘</w:t>
      </w:r>
      <w:r w:rsidR="00AC74DC">
        <w:rPr>
          <w:color w:val="000000" w:themeColor="text1"/>
        </w:rPr>
        <w:t>NA</w:t>
      </w:r>
      <w:r w:rsidR="00DB54C2" w:rsidRPr="00A81F04">
        <w:rPr>
          <w:color w:val="000000" w:themeColor="text1"/>
        </w:rPr>
        <w:t>’</w:t>
      </w:r>
      <w:r w:rsidRPr="00487439">
        <w:rPr>
          <w:color w:val="FF0000"/>
        </w:rPr>
        <w:t xml:space="preserve"> </w:t>
      </w:r>
      <w:r>
        <w:t xml:space="preserve">in the </w:t>
      </w:r>
      <w:r w:rsidR="000D1C3B">
        <w:t>accompanying d</w:t>
      </w:r>
      <w:r>
        <w:t>ata-set.</w:t>
      </w:r>
    </w:p>
    <w:p w14:paraId="422CBF3D" w14:textId="49B15F33" w:rsidR="00AC0E78" w:rsidRDefault="00AC0E78" w:rsidP="00FD0998">
      <w:pPr>
        <w:jc w:val="both"/>
      </w:pPr>
    </w:p>
    <w:p w14:paraId="349E11C7" w14:textId="77777777" w:rsidR="00AC0E78" w:rsidRDefault="00AC0E78" w:rsidP="00FD0998">
      <w:pPr>
        <w:jc w:val="both"/>
      </w:pPr>
    </w:p>
    <w:p w14:paraId="69EF36C1" w14:textId="77777777" w:rsidR="001C6218" w:rsidRDefault="001C6218" w:rsidP="00FD0998">
      <w:pPr>
        <w:jc w:val="both"/>
      </w:pPr>
    </w:p>
    <w:p w14:paraId="19147A22" w14:textId="1EFCDAD2" w:rsidR="00B65F4A" w:rsidRDefault="00B65F4A" w:rsidP="00FD0998">
      <w:pPr>
        <w:jc w:val="both"/>
      </w:pPr>
      <w:r>
        <w:t>HEIGHT</w:t>
      </w:r>
    </w:p>
    <w:p w14:paraId="419E3308" w14:textId="35AEDA62" w:rsidR="00C578A0" w:rsidRPr="000C280E" w:rsidRDefault="00537584" w:rsidP="00FD0998">
      <w:pPr>
        <w:jc w:val="both"/>
      </w:pPr>
      <w:r>
        <w:t xml:space="preserve">Distance from the floor (feet against the wall, barefoot, ankles together) to the top of the head (against the wall, looking ahead) after maximal inspiration and straight legs was measured to the nearest 0.1 cm using a wall-mounted </w:t>
      </w:r>
      <w:r w:rsidRPr="00E67BF2">
        <w:rPr>
          <w:color w:val="000000" w:themeColor="text1"/>
        </w:rPr>
        <w:t xml:space="preserve">stadiometer </w:t>
      </w:r>
      <w:r w:rsidR="002A633C" w:rsidRPr="000C280E">
        <w:t>(Seca Stadiometer, Germany).</w:t>
      </w:r>
    </w:p>
    <w:p w14:paraId="6D189B16" w14:textId="77777777" w:rsidR="00C578A0" w:rsidRPr="002A633C" w:rsidRDefault="00C578A0" w:rsidP="00FD0998">
      <w:pPr>
        <w:jc w:val="both"/>
        <w:rPr>
          <w:color w:val="FF0000"/>
        </w:rPr>
      </w:pPr>
    </w:p>
    <w:p w14:paraId="64028B62" w14:textId="77777777" w:rsidR="00B65F4A" w:rsidRDefault="00B65F4A" w:rsidP="00FD0998">
      <w:pPr>
        <w:jc w:val="both"/>
      </w:pPr>
      <w:r>
        <w:t>BODY MASS</w:t>
      </w:r>
    </w:p>
    <w:p w14:paraId="50AA1A1F" w14:textId="1C24ED48" w:rsidR="00C578A0" w:rsidRDefault="006257B7" w:rsidP="00FD0998">
      <w:pPr>
        <w:jc w:val="both"/>
      </w:pPr>
      <w:r>
        <w:t xml:space="preserve">The weight of each </w:t>
      </w:r>
      <w:r w:rsidR="002268DE">
        <w:t>participant</w:t>
      </w:r>
      <w:r>
        <w:t xml:space="preserve"> was measured to the </w:t>
      </w:r>
      <w:r w:rsidRPr="00C344EB">
        <w:rPr>
          <w:color w:val="000000" w:themeColor="text1"/>
        </w:rPr>
        <w:t xml:space="preserve">nearest </w:t>
      </w:r>
      <w:r w:rsidR="003227A2">
        <w:rPr>
          <w:color w:val="000000" w:themeColor="text1"/>
        </w:rPr>
        <w:t>0.1 kg</w:t>
      </w:r>
      <w:r w:rsidRPr="00C344EB">
        <w:rPr>
          <w:color w:val="000000" w:themeColor="text1"/>
        </w:rPr>
        <w:t xml:space="preserve"> </w:t>
      </w:r>
      <w:r w:rsidR="00F80BDC" w:rsidRPr="000C280E">
        <w:t xml:space="preserve">using a sliding balance scale (Weylux 424, UK) </w:t>
      </w:r>
      <w:r>
        <w:t>whilst they wore minimal clothing (lightweight shorts only for males; lightweight shorts plus lightweight vest-top for females), with the same clothing standardised between baseline and follow-up.</w:t>
      </w:r>
    </w:p>
    <w:p w14:paraId="719C7D37" w14:textId="1B7CABC2" w:rsidR="000E00BE" w:rsidRDefault="000E00BE" w:rsidP="00FD0998">
      <w:pPr>
        <w:jc w:val="both"/>
      </w:pPr>
    </w:p>
    <w:p w14:paraId="5FF9BF1B" w14:textId="77777777" w:rsidR="000E00BE" w:rsidRDefault="000E00BE" w:rsidP="000E00BE">
      <w:pPr>
        <w:jc w:val="both"/>
      </w:pPr>
      <w:r>
        <w:t>WAIST CIRCUMFERENCE</w:t>
      </w:r>
    </w:p>
    <w:p w14:paraId="55FACC47" w14:textId="1FF90CF9" w:rsidR="000E00BE" w:rsidRDefault="000E00BE" w:rsidP="000E00BE">
      <w:pPr>
        <w:tabs>
          <w:tab w:val="left" w:pos="3119"/>
        </w:tabs>
        <w:jc w:val="both"/>
        <w:rPr>
          <w:color w:val="000000" w:themeColor="text1"/>
        </w:rPr>
      </w:pPr>
      <w:r>
        <w:rPr>
          <w:color w:val="000000" w:themeColor="text1"/>
        </w:rPr>
        <w:t xml:space="preserve">The distance around the waist was measured with a metallic (non-elastic) tape-measure based on WHO guidelines for anatomical landmarks (i.e. the mid-point from lowest rib to top of iliac crest). The average of three measurements was accepted with agreement &lt;1 cm between them. </w:t>
      </w:r>
    </w:p>
    <w:p w14:paraId="307376CA" w14:textId="77777777" w:rsidR="00A81F04" w:rsidRDefault="00A81F04" w:rsidP="000E00BE">
      <w:pPr>
        <w:tabs>
          <w:tab w:val="left" w:pos="3119"/>
        </w:tabs>
        <w:jc w:val="both"/>
        <w:rPr>
          <w:color w:val="000000" w:themeColor="text1"/>
        </w:rPr>
      </w:pPr>
    </w:p>
    <w:p w14:paraId="5DC938CB" w14:textId="49554690" w:rsidR="00B65F4A" w:rsidRPr="000E00BE" w:rsidRDefault="00B65F4A" w:rsidP="000E00BE">
      <w:pPr>
        <w:tabs>
          <w:tab w:val="left" w:pos="3119"/>
        </w:tabs>
        <w:jc w:val="both"/>
        <w:rPr>
          <w:color w:val="000000" w:themeColor="text1"/>
        </w:rPr>
      </w:pPr>
      <w:r>
        <w:lastRenderedPageBreak/>
        <w:t>BODY COMPOSITION</w:t>
      </w:r>
      <w:r w:rsidR="000B6C69">
        <w:t xml:space="preserve">/PERCENT BODY </w:t>
      </w:r>
      <w:r w:rsidR="00240FF5">
        <w:t>FAT</w:t>
      </w:r>
    </w:p>
    <w:p w14:paraId="0B949DAA" w14:textId="09D9F9C8" w:rsidR="006257B7" w:rsidRPr="00E61400" w:rsidRDefault="00B65F4A" w:rsidP="00FD0998">
      <w:pPr>
        <w:jc w:val="both"/>
      </w:pPr>
      <w:r w:rsidRPr="00E61400">
        <w:t>Lean</w:t>
      </w:r>
      <w:r w:rsidR="00D2587D" w:rsidRPr="00E61400">
        <w:t xml:space="preserve"> and</w:t>
      </w:r>
      <w:r w:rsidR="005F342E" w:rsidRPr="00E61400">
        <w:t xml:space="preserve"> adipose</w:t>
      </w:r>
      <w:r w:rsidR="00D2587D" w:rsidRPr="00E61400">
        <w:t xml:space="preserve"> </w:t>
      </w:r>
      <w:r w:rsidRPr="00E61400">
        <w:t>tissue mass</w:t>
      </w:r>
      <w:r w:rsidR="003C24DE" w:rsidRPr="00E61400">
        <w:t xml:space="preserve"> and </w:t>
      </w:r>
      <w:r w:rsidRPr="00E61400">
        <w:t>were</w:t>
      </w:r>
      <w:r w:rsidR="006257B7" w:rsidRPr="00E61400">
        <w:t xml:space="preserve"> measured using</w:t>
      </w:r>
      <w:r w:rsidR="00BE0C41" w:rsidRPr="00E61400">
        <w:t xml:space="preserve"> Dual Energy X-ray Absorptiometry </w:t>
      </w:r>
      <w:r w:rsidR="002F5D8B" w:rsidRPr="00E61400">
        <w:t>(QDR Discovery W, Hologic; MA, USA)</w:t>
      </w:r>
      <w:r w:rsidR="00BC73EC" w:rsidRPr="00E61400">
        <w:t xml:space="preserve">. </w:t>
      </w:r>
      <w:r w:rsidR="002E0063" w:rsidRPr="00E61400">
        <w:t xml:space="preserve">Before scans </w:t>
      </w:r>
      <w:r w:rsidR="002268DE" w:rsidRPr="00E61400">
        <w:t>participants voided and</w:t>
      </w:r>
      <w:r w:rsidR="000B6C69" w:rsidRPr="00E61400">
        <w:t xml:space="preserve"> w</w:t>
      </w:r>
      <w:r w:rsidR="00BC73EC" w:rsidRPr="00E61400">
        <w:t>ore</w:t>
      </w:r>
      <w:r w:rsidR="000B6C69" w:rsidRPr="00E61400">
        <w:t xml:space="preserve"> the same minimal clothing as described for </w:t>
      </w:r>
      <w:r w:rsidR="00D32E15" w:rsidRPr="00E61400">
        <w:t>BODY MASS</w:t>
      </w:r>
      <w:r w:rsidR="000B6C69" w:rsidRPr="00E61400">
        <w:t xml:space="preserve"> (therefore having removed any metal items</w:t>
      </w:r>
      <w:r w:rsidR="00BC73EC" w:rsidRPr="00E61400">
        <w:t xml:space="preserve"> and shoes</w:t>
      </w:r>
      <w:r w:rsidR="000B6C69" w:rsidRPr="00E61400">
        <w:t>)</w:t>
      </w:r>
      <w:r w:rsidR="00E137B1" w:rsidRPr="00E61400">
        <w:t xml:space="preserve">. </w:t>
      </w:r>
    </w:p>
    <w:p w14:paraId="0A502FAC" w14:textId="41418DEF" w:rsidR="00A07B82" w:rsidRPr="00E61400" w:rsidRDefault="00A07B82" w:rsidP="00FD0998">
      <w:pPr>
        <w:jc w:val="both"/>
      </w:pPr>
    </w:p>
    <w:p w14:paraId="0AEEE95D" w14:textId="59DA077E" w:rsidR="00A07B82" w:rsidRPr="00E61400" w:rsidRDefault="00A07B82" w:rsidP="00FD0998">
      <w:pPr>
        <w:jc w:val="both"/>
      </w:pPr>
      <w:r w:rsidRPr="00E61400">
        <w:t>BONE MINDERAL DENSITY</w:t>
      </w:r>
      <w:r w:rsidR="007B076B" w:rsidRPr="00E61400">
        <w:t>/ BONE MINERAL CONTENT</w:t>
      </w:r>
    </w:p>
    <w:p w14:paraId="6D3E1ACB" w14:textId="275E1EDD" w:rsidR="00E61400" w:rsidRPr="00E61400" w:rsidRDefault="00E61400" w:rsidP="00E61400">
      <w:pPr>
        <w:jc w:val="both"/>
      </w:pPr>
      <w:r w:rsidRPr="00E61400">
        <w:t xml:space="preserve">Participant’s bone mineral content and bone mineral density were measured using Dual Energy X-ray Absorptiometry (QDR Discovery W, Hologic; MA, USA). Before scans participants voided and wore the same minimal clothing as described for BODY MASS (therefore having removed any metal items and shoes). </w:t>
      </w:r>
    </w:p>
    <w:p w14:paraId="74712786" w14:textId="073A564C" w:rsidR="00C578A0" w:rsidRPr="00AC0E78" w:rsidRDefault="00E61400" w:rsidP="00FD0998">
      <w:pPr>
        <w:jc w:val="both"/>
        <w:rPr>
          <w:color w:val="FF0000"/>
        </w:rPr>
      </w:pPr>
      <w:r>
        <w:rPr>
          <w:color w:val="FF0000"/>
        </w:rPr>
        <w:t xml:space="preserve"> </w:t>
      </w:r>
    </w:p>
    <w:p w14:paraId="6BF6D0A8" w14:textId="5D85078F" w:rsidR="000963F7" w:rsidRPr="00E61400" w:rsidRDefault="006B3962" w:rsidP="00FD0998">
      <w:pPr>
        <w:jc w:val="both"/>
      </w:pPr>
      <w:r w:rsidRPr="00E61400">
        <w:t>DIET COMPOSITION</w:t>
      </w:r>
      <w:r w:rsidR="000963F7" w:rsidRPr="00E61400">
        <w:t xml:space="preserve"> </w:t>
      </w:r>
    </w:p>
    <w:p w14:paraId="76AFB7D6" w14:textId="20DD7B23" w:rsidR="006B3962" w:rsidRPr="00E61400" w:rsidRDefault="000963F7" w:rsidP="006B3962">
      <w:pPr>
        <w:jc w:val="both"/>
      </w:pPr>
      <w:r w:rsidRPr="00E61400">
        <w:t>Individual pa</w:t>
      </w:r>
      <w:r w:rsidR="002268DE" w:rsidRPr="00E61400">
        <w:t>rticipants</w:t>
      </w:r>
      <w:r w:rsidRPr="00E61400">
        <w:t xml:space="preserve"> were provided with a food diary and electronic scales</w:t>
      </w:r>
      <w:r w:rsidR="00830CC8" w:rsidRPr="00E61400">
        <w:t xml:space="preserve"> (Pocket Pro 2000, Smart Weigh; NY, USA)</w:t>
      </w:r>
      <w:r w:rsidRPr="00E61400">
        <w:t xml:space="preserve"> to directly weigh and record the mass of all food </w:t>
      </w:r>
      <w:r w:rsidR="00DC6EFC" w:rsidRPr="00E61400">
        <w:t xml:space="preserve">and drink </w:t>
      </w:r>
      <w:r w:rsidRPr="00E61400">
        <w:t>consumed at the time of eating (</w:t>
      </w:r>
      <w:r w:rsidR="003C24DE" w:rsidRPr="00E61400">
        <w:t>i.e.</w:t>
      </w:r>
      <w:r w:rsidRPr="00E61400">
        <w:t xml:space="preserve"> not retrospective), along with a detailed description of the food. </w:t>
      </w:r>
      <w:r w:rsidR="00FD386F" w:rsidRPr="00E61400">
        <w:t xml:space="preserve">The weighed records were analysed </w:t>
      </w:r>
      <w:r w:rsidR="005D14BC" w:rsidRPr="00E61400">
        <w:t>(Nutritics</w:t>
      </w:r>
      <w:r w:rsidR="005D14BC" w:rsidRPr="00E61400">
        <w:rPr>
          <w:vertAlign w:val="superscript"/>
        </w:rPr>
        <w:t>TM</w:t>
      </w:r>
      <w:r w:rsidR="005D14BC" w:rsidRPr="00E61400">
        <w:t xml:space="preserve"> version 5.031; Ireland) to determine energy and macronutrient intake.</w:t>
      </w:r>
    </w:p>
    <w:p w14:paraId="34C71835" w14:textId="77777777" w:rsidR="00C578A0" w:rsidRPr="00E61400" w:rsidRDefault="00C578A0" w:rsidP="00FD0998">
      <w:pPr>
        <w:jc w:val="both"/>
      </w:pPr>
    </w:p>
    <w:p w14:paraId="54F88BDC" w14:textId="08C17A6B" w:rsidR="006B3962" w:rsidRPr="00E61400" w:rsidRDefault="006B3962" w:rsidP="00FD0998">
      <w:pPr>
        <w:jc w:val="both"/>
      </w:pPr>
      <w:r w:rsidRPr="00E61400">
        <w:t>RESTING METABOLIC RATE</w:t>
      </w:r>
      <w:r w:rsidR="005307D2" w:rsidRPr="00E61400">
        <w:t>/</w:t>
      </w:r>
      <w:r w:rsidR="0085046D" w:rsidRPr="00E61400">
        <w:t>S</w:t>
      </w:r>
      <w:r w:rsidR="005F71FF" w:rsidRPr="00E61400">
        <w:t>UBSTRATE OXIDATION</w:t>
      </w:r>
    </w:p>
    <w:p w14:paraId="32D297ED" w14:textId="1A0EBD71" w:rsidR="00C578A0" w:rsidRPr="00E61400" w:rsidRDefault="006B3962" w:rsidP="00FD0998">
      <w:pPr>
        <w:jc w:val="both"/>
      </w:pPr>
      <w:r w:rsidRPr="00E61400">
        <w:t>Energy expenditure under basal conditions was determined via indirect cal</w:t>
      </w:r>
      <w:r w:rsidR="006A3FAA" w:rsidRPr="00E61400">
        <w:t>orimetry from gaseous exchange. Pa</w:t>
      </w:r>
      <w:r w:rsidR="00707E14" w:rsidRPr="00E61400">
        <w:t>rticipants</w:t>
      </w:r>
      <w:r w:rsidR="006A3FAA" w:rsidRPr="00E61400">
        <w:t xml:space="preserve"> rested motionless in a supine position </w:t>
      </w:r>
      <w:r w:rsidR="004E27E6" w:rsidRPr="00E61400">
        <w:t xml:space="preserve">for </w:t>
      </w:r>
      <w:r w:rsidR="009E2EE1" w:rsidRPr="00E61400">
        <w:t xml:space="preserve">20-minutes </w:t>
      </w:r>
      <w:r w:rsidR="00C8566C" w:rsidRPr="00E61400">
        <w:t xml:space="preserve">and </w:t>
      </w:r>
      <w:r w:rsidR="009E2EE1" w:rsidRPr="00E61400">
        <w:t xml:space="preserve">then </w:t>
      </w:r>
      <w:r w:rsidR="00C8566C" w:rsidRPr="00E61400">
        <w:t>thre</w:t>
      </w:r>
      <w:r w:rsidR="00D32400" w:rsidRPr="00E61400">
        <w:t>e consecutive 5-minute samples were measured</w:t>
      </w:r>
      <w:r w:rsidR="00DA5397" w:rsidRPr="00E61400">
        <w:t xml:space="preserve">. </w:t>
      </w:r>
      <w:r w:rsidR="006A3FAA" w:rsidRPr="00E61400">
        <w:t xml:space="preserve">The total volume expired every 5 minutes was </w:t>
      </w:r>
      <w:r w:rsidR="00DC6EFC" w:rsidRPr="00E61400">
        <w:t xml:space="preserve">measured </w:t>
      </w:r>
      <w:r w:rsidR="006A3FAA" w:rsidRPr="00E61400">
        <w:t>using a dry gas meter (Harvard Apparatus, UK) and the relative gas fractions of oxygen and carbon dioxide measured using paramagnetic and infra-red analysers, respectively (Servomex 1440, UK).</w:t>
      </w:r>
      <w:r w:rsidR="005E6377" w:rsidRPr="00E61400">
        <w:t xml:space="preserve"> Metabolic substrate utilization and energy expenditure were then determined from rates of oxygen uptake and carbon dioxide production using the equations described by Frayn (1983) </w:t>
      </w:r>
      <w:r w:rsidR="005E6377" w:rsidRPr="00E61400">
        <w:rPr>
          <w:i/>
        </w:rPr>
        <w:t>Journal of Applied Physiology</w:t>
      </w:r>
      <w:r w:rsidR="005E6377" w:rsidRPr="00E61400">
        <w:t xml:space="preserve"> </w:t>
      </w:r>
      <w:r w:rsidR="005E6377" w:rsidRPr="00E61400">
        <w:rPr>
          <w:b/>
        </w:rPr>
        <w:t>55</w:t>
      </w:r>
      <w:r w:rsidR="005E6377" w:rsidRPr="00E61400">
        <w:t xml:space="preserve"> (2): 628-634. </w:t>
      </w:r>
      <w:r w:rsidR="007C7570" w:rsidRPr="00E61400">
        <w:t>Resting metabolic rate was recorded by using t</w:t>
      </w:r>
      <w:r w:rsidR="00105D82" w:rsidRPr="00E61400">
        <w:t xml:space="preserve">he values from two or more samples </w:t>
      </w:r>
      <w:r w:rsidR="005E6377" w:rsidRPr="00E61400">
        <w:t>from each pa</w:t>
      </w:r>
      <w:r w:rsidR="004B5758" w:rsidRPr="00E61400">
        <w:t>rticipant</w:t>
      </w:r>
      <w:r w:rsidR="00434C9D" w:rsidRPr="00E61400">
        <w:t xml:space="preserve"> that were stable within 100 kcal per </w:t>
      </w:r>
      <w:r w:rsidR="00AC6822" w:rsidRPr="00E61400">
        <w:t xml:space="preserve">day and </w:t>
      </w:r>
      <w:r w:rsidR="00DE61AE" w:rsidRPr="00E61400">
        <w:t>taken as an arithmetic average.</w:t>
      </w:r>
    </w:p>
    <w:p w14:paraId="3054485B" w14:textId="77777777" w:rsidR="007C7570" w:rsidRDefault="007C7570" w:rsidP="00FD0998">
      <w:pPr>
        <w:jc w:val="both"/>
      </w:pPr>
    </w:p>
    <w:p w14:paraId="541B32CB" w14:textId="77777777" w:rsidR="00D32E15" w:rsidRDefault="00D32E15" w:rsidP="00FD0998">
      <w:pPr>
        <w:jc w:val="both"/>
      </w:pPr>
      <w:r>
        <w:t>DIET-INDUCED THERMOGENESIS</w:t>
      </w:r>
    </w:p>
    <w:p w14:paraId="32786B77" w14:textId="537FD436" w:rsidR="00D32E15" w:rsidRDefault="00D32E15" w:rsidP="00FD0998">
      <w:pPr>
        <w:jc w:val="both"/>
      </w:pPr>
      <w:r>
        <w:t>The rate of daily diet-induced thermogenesis under free-living conditions was determined</w:t>
      </w:r>
      <w:r w:rsidRPr="00D32E15">
        <w:t xml:space="preserve"> </w:t>
      </w:r>
      <w:r>
        <w:t>as the product of the mass of each macronutrient ingested (determined as described for DIET COMPOSITION) and the following established constants for the thermogenic effect of each macronutrient: carbohydrate 8 %, fat 2 %, protein 21 % and ethanol/alcohol 15 % (the lat</w:t>
      </w:r>
      <w:r w:rsidR="00BB6924">
        <w:t>ter balancing the likely differ</w:t>
      </w:r>
      <w:r>
        <w:t>ing contributions of the ADH and MEOS systems for ethanol metabolism).</w:t>
      </w:r>
    </w:p>
    <w:p w14:paraId="7C74A3FE" w14:textId="77777777" w:rsidR="00E61400" w:rsidRDefault="00E61400" w:rsidP="00656E1D">
      <w:pPr>
        <w:jc w:val="both"/>
        <w:rPr>
          <w:color w:val="000000" w:themeColor="text1"/>
        </w:rPr>
      </w:pPr>
    </w:p>
    <w:p w14:paraId="65AEA79F" w14:textId="14BEF2C8" w:rsidR="00656E1D" w:rsidRDefault="00656E1D" w:rsidP="00656E1D">
      <w:pPr>
        <w:jc w:val="both"/>
        <w:rPr>
          <w:color w:val="000000" w:themeColor="text1"/>
        </w:rPr>
      </w:pPr>
      <w:r w:rsidRPr="00240FF5">
        <w:rPr>
          <w:color w:val="000000" w:themeColor="text1"/>
        </w:rPr>
        <w:t>TIME OF WAKING/SLEEPING</w:t>
      </w:r>
    </w:p>
    <w:p w14:paraId="7861693B" w14:textId="2C251925" w:rsidR="00656E1D" w:rsidRPr="00E61400" w:rsidRDefault="00E76387" w:rsidP="00656E1D">
      <w:pPr>
        <w:jc w:val="both"/>
      </w:pPr>
      <w:r w:rsidRPr="00E61400">
        <w:t>Individual participant</w:t>
      </w:r>
      <w:r w:rsidR="0011367C">
        <w:t>’</w:t>
      </w:r>
      <w:r w:rsidRPr="00E61400">
        <w:t>s</w:t>
      </w:r>
      <w:r w:rsidR="009339EF" w:rsidRPr="00E61400">
        <w:t xml:space="preserve"> daily physical activity traces</w:t>
      </w:r>
      <w:r w:rsidRPr="00E61400">
        <w:t xml:space="preserve"> </w:t>
      </w:r>
      <w:r w:rsidR="009339EF" w:rsidRPr="00E61400">
        <w:t xml:space="preserve">were used to identify </w:t>
      </w:r>
      <w:r w:rsidR="00595346" w:rsidRPr="00E61400">
        <w:t xml:space="preserve">when physical movements commenced and ceased at the beginning and end of each waking phase to determine the </w:t>
      </w:r>
      <w:r w:rsidR="009A1376" w:rsidRPr="00E61400">
        <w:t xml:space="preserve">times at which participants rose in the morning and went to bed at night. </w:t>
      </w:r>
      <w:r w:rsidR="00005910" w:rsidRPr="00E61400">
        <w:t xml:space="preserve">Data for two </w:t>
      </w:r>
      <w:r w:rsidR="00E840B7" w:rsidRPr="00E61400">
        <w:t xml:space="preserve">participants were not </w:t>
      </w:r>
      <w:r w:rsidR="00656E1D" w:rsidRPr="00E61400">
        <w:t>record</w:t>
      </w:r>
      <w:r w:rsidR="00E840B7" w:rsidRPr="00E61400">
        <w:t>ed</w:t>
      </w:r>
      <w:r w:rsidR="00656E1D" w:rsidRPr="00E61400">
        <w:t xml:space="preserve"> </w:t>
      </w:r>
      <w:r w:rsidR="00E840B7" w:rsidRPr="00E61400">
        <w:t xml:space="preserve">at </w:t>
      </w:r>
      <w:r w:rsidR="00656E1D" w:rsidRPr="00E61400">
        <w:t>either the time they woke-up or went to sleep for both the baseline and intervention measurement.</w:t>
      </w:r>
    </w:p>
    <w:p w14:paraId="5E8F27A9" w14:textId="4DB69F72" w:rsidR="005E3BE7" w:rsidRPr="00BE66B0" w:rsidRDefault="00D32E15" w:rsidP="00FD0998">
      <w:pPr>
        <w:jc w:val="both"/>
      </w:pPr>
      <w:r w:rsidRPr="00BE66B0">
        <w:lastRenderedPageBreak/>
        <w:t>PHYSICAL</w:t>
      </w:r>
      <w:r w:rsidR="00DC0DC5" w:rsidRPr="00BE66B0">
        <w:t xml:space="preserve"> ACTIVITY THERMOGENESIS</w:t>
      </w:r>
    </w:p>
    <w:p w14:paraId="48665076" w14:textId="5394E673" w:rsidR="00CA3B52" w:rsidRPr="00E61400" w:rsidRDefault="00BD7D7E" w:rsidP="00FD0998">
      <w:pPr>
        <w:jc w:val="both"/>
      </w:pPr>
      <w:r w:rsidRPr="00E61400">
        <w:t xml:space="preserve">The energy expended during physical activity was determined via combined </w:t>
      </w:r>
      <w:r w:rsidR="009604DA" w:rsidRPr="00E61400">
        <w:t>heart rate</w:t>
      </w:r>
      <w:r w:rsidRPr="00E61400">
        <w:t>/accelerometry (ActiHeart™</w:t>
      </w:r>
      <w:r w:rsidR="00631B96" w:rsidRPr="00E61400">
        <w:t>,</w:t>
      </w:r>
      <w:r w:rsidR="001F21EC" w:rsidRPr="00E61400">
        <w:rPr>
          <w:b/>
          <w:bCs/>
        </w:rPr>
        <w:t xml:space="preserve"> </w:t>
      </w:r>
      <w:r w:rsidR="00295498" w:rsidRPr="00E61400">
        <w:t>Cambridge Neurotechnology; Cambridge, UK).</w:t>
      </w:r>
      <w:r w:rsidR="00BE66B0" w:rsidRPr="00E61400">
        <w:t xml:space="preserve"> </w:t>
      </w:r>
      <w:r w:rsidR="00C77C6F" w:rsidRPr="00E61400">
        <w:t xml:space="preserve">Individual participant’s </w:t>
      </w:r>
      <w:r w:rsidR="0079290D" w:rsidRPr="00E61400">
        <w:t>physical activity monitors were calibrated using a submaximal treadmill protocol</w:t>
      </w:r>
      <w:r w:rsidR="000A4C8E" w:rsidRPr="00E61400">
        <w:t xml:space="preserve"> which involved four 3-minute intervals of incremental treadmill locomotion</w:t>
      </w:r>
      <w:r w:rsidR="00574276" w:rsidRPr="00E61400">
        <w:t xml:space="preserve"> with concurrent</w:t>
      </w:r>
      <w:r w:rsidR="00E64411" w:rsidRPr="00E61400">
        <w:t xml:space="preserve"> measurements of both heart rate and energy expenditure </w:t>
      </w:r>
      <w:r w:rsidR="00F81F9C" w:rsidRPr="00E61400">
        <w:t xml:space="preserve">(indirect calorimetry of expired gas samples). This was used to </w:t>
      </w:r>
      <w:r w:rsidR="000C1299" w:rsidRPr="00E61400">
        <w:t>produce a hear rate-physical activity intensity regression equation</w:t>
      </w:r>
      <w:r w:rsidR="00684043" w:rsidRPr="00E61400">
        <w:t xml:space="preserve"> which estimates were based upon. </w:t>
      </w:r>
      <w:r w:rsidR="000C1299" w:rsidRPr="00E61400">
        <w:t xml:space="preserve"> </w:t>
      </w:r>
    </w:p>
    <w:p w14:paraId="58E277F0" w14:textId="77777777" w:rsidR="00C578A0" w:rsidRDefault="00C578A0" w:rsidP="00FD0998">
      <w:pPr>
        <w:jc w:val="both"/>
      </w:pPr>
    </w:p>
    <w:p w14:paraId="02E6F2C6" w14:textId="2833A700" w:rsidR="008302F1" w:rsidRDefault="008302F1" w:rsidP="00FD0998">
      <w:pPr>
        <w:jc w:val="both"/>
      </w:pPr>
      <w:r>
        <w:t>TOTAL CHOLESTEROL</w:t>
      </w:r>
    </w:p>
    <w:p w14:paraId="70FC5206" w14:textId="4E00CAC5" w:rsidR="008302F1" w:rsidRDefault="00E83D48" w:rsidP="00FD0998">
      <w:pPr>
        <w:jc w:val="both"/>
      </w:pPr>
      <w:r w:rsidRPr="001D6D5D">
        <w:t xml:space="preserve">Blood </w:t>
      </w:r>
      <w:r w:rsidR="00501DFC" w:rsidRPr="001D6D5D">
        <w:t>plasma</w:t>
      </w:r>
      <w:r w:rsidRPr="001D6D5D">
        <w:t xml:space="preserve"> concentrations of t</w:t>
      </w:r>
      <w:r w:rsidR="008302F1" w:rsidRPr="001D6D5D">
        <w:t xml:space="preserve">otal cholesterol </w:t>
      </w:r>
      <w:r w:rsidRPr="001D6D5D">
        <w:t>were assayed using</w:t>
      </w:r>
      <w:r w:rsidR="00A731BD" w:rsidRPr="001D6D5D">
        <w:t xml:space="preserve"> an automated analyser (RX Daytona; Randox Laboratories, Northern Ireland) and commercially available reagents (Randox Laboratories, Northern Ireland)</w:t>
      </w:r>
      <w:r w:rsidRPr="001D6D5D">
        <w:t>.</w:t>
      </w:r>
      <w:r w:rsidR="00274023" w:rsidRPr="001D6D5D">
        <w:t xml:space="preserve"> </w:t>
      </w:r>
      <w:r w:rsidR="00274023">
        <w:t xml:space="preserve">Intra-assay coefficient of variation </w:t>
      </w:r>
      <w:r w:rsidR="009961FF">
        <w:t xml:space="preserve">4.0 ± 0.9 </w:t>
      </w:r>
      <w:r w:rsidR="00274023">
        <w:t xml:space="preserve">%; inter-assay coefficient of variation </w:t>
      </w:r>
      <w:r w:rsidR="00815796">
        <w:t>3.8 ± 1.1</w:t>
      </w:r>
      <w:r w:rsidR="00274023">
        <w:t xml:space="preserve"> %.</w:t>
      </w:r>
    </w:p>
    <w:p w14:paraId="1AE39495" w14:textId="3A8B1A73" w:rsidR="00274023" w:rsidRDefault="00EF05AC" w:rsidP="00EF05AC">
      <w:pPr>
        <w:tabs>
          <w:tab w:val="left" w:pos="2459"/>
        </w:tabs>
        <w:jc w:val="both"/>
      </w:pPr>
      <w:r>
        <w:tab/>
      </w:r>
    </w:p>
    <w:p w14:paraId="27C7D366" w14:textId="77777777" w:rsidR="00274023" w:rsidRDefault="00274023" w:rsidP="00274023">
      <w:pPr>
        <w:jc w:val="both"/>
      </w:pPr>
      <w:r>
        <w:t>HIGH-DENSITY LIPOPROTEIN (HDL) CHOLESTEROL</w:t>
      </w:r>
    </w:p>
    <w:p w14:paraId="3805BD88" w14:textId="5D9FC354" w:rsidR="00274023" w:rsidRDefault="00274023" w:rsidP="00274023">
      <w:pPr>
        <w:jc w:val="both"/>
      </w:pPr>
      <w:r>
        <w:t xml:space="preserve">Blood </w:t>
      </w:r>
      <w:r w:rsidR="00501DFC" w:rsidRPr="00ED660B">
        <w:t>plasma</w:t>
      </w:r>
      <w:r w:rsidRPr="00ED660B">
        <w:t xml:space="preserve"> concentrations of HDL cholesterol were assayed using </w:t>
      </w:r>
      <w:r w:rsidR="008B1A46" w:rsidRPr="00ED660B">
        <w:t xml:space="preserve">an automated analyser (RX Daytona; Randox Laboratories, Northern Ireland) and commercially available reagents (Randox Laboratories, Northern Ireland). </w:t>
      </w:r>
      <w:r>
        <w:t xml:space="preserve">Intra-assay coefficient of variation </w:t>
      </w:r>
      <w:r w:rsidR="00ED660B">
        <w:t>4.</w:t>
      </w:r>
      <w:r w:rsidR="009C1451">
        <w:t xml:space="preserve"> 2 ± 1.8 </w:t>
      </w:r>
      <w:r>
        <w:t xml:space="preserve">%; inter-assay coefficient of variation </w:t>
      </w:r>
      <w:r w:rsidR="009C1451">
        <w:t xml:space="preserve">5.3 ± </w:t>
      </w:r>
      <w:r w:rsidR="009961FF">
        <w:t>0.4</w:t>
      </w:r>
      <w:r>
        <w:t xml:space="preserve"> %.</w:t>
      </w:r>
    </w:p>
    <w:p w14:paraId="4F44DD34" w14:textId="77777777" w:rsidR="00274023" w:rsidRDefault="00274023" w:rsidP="00274023">
      <w:pPr>
        <w:jc w:val="both"/>
      </w:pPr>
    </w:p>
    <w:p w14:paraId="1FE6E2B8" w14:textId="77777777" w:rsidR="00274023" w:rsidRPr="00274023" w:rsidRDefault="00274023" w:rsidP="00274023">
      <w:pPr>
        <w:jc w:val="both"/>
      </w:pPr>
      <w:r>
        <w:t xml:space="preserve">LOW-DENSITY </w:t>
      </w:r>
      <w:r w:rsidRPr="00274023">
        <w:t>LIPOPROTEIN (LDL) CHOLESTEROL</w:t>
      </w:r>
    </w:p>
    <w:p w14:paraId="7794639D" w14:textId="58065D68" w:rsidR="00274023" w:rsidRDefault="00274023" w:rsidP="00274023">
      <w:pPr>
        <w:jc w:val="both"/>
        <w:rPr>
          <w:color w:val="000000" w:themeColor="text1"/>
        </w:rPr>
      </w:pPr>
      <w:r w:rsidRPr="00274023">
        <w:t xml:space="preserve">Blood </w:t>
      </w:r>
      <w:r w:rsidR="00F5108E" w:rsidRPr="001632DC">
        <w:t>plasma</w:t>
      </w:r>
      <w:r w:rsidRPr="001632DC">
        <w:t xml:space="preserve"> concentrations of </w:t>
      </w:r>
      <w:r w:rsidR="001C3CE8">
        <w:t>L</w:t>
      </w:r>
      <w:r w:rsidRPr="001632DC">
        <w:t xml:space="preserve">DL cholesterol were </w:t>
      </w:r>
      <w:r w:rsidR="00714FE6" w:rsidRPr="00ED660B">
        <w:t xml:space="preserve">assayed using an automated analyser (RX Daytona; Randox Laboratories, Northern Ireland) and commercially available reagents (Randox Laboratories, Northern Ireland). </w:t>
      </w:r>
      <w:r w:rsidR="00815796">
        <w:t xml:space="preserve">Intra-assay coefficient of variation </w:t>
      </w:r>
      <w:r w:rsidR="007C5CA2">
        <w:t>2.1</w:t>
      </w:r>
      <w:r w:rsidR="00815796">
        <w:t xml:space="preserve"> ± </w:t>
      </w:r>
      <w:r w:rsidR="007C5CA2">
        <w:t>0.5</w:t>
      </w:r>
      <w:r w:rsidR="00815796">
        <w:t xml:space="preserve"> %; inter-assay coefficient of variation </w:t>
      </w:r>
      <w:r w:rsidR="003F2C45">
        <w:t>2.3 ± 0.5</w:t>
      </w:r>
      <w:r w:rsidR="00815796">
        <w:t xml:space="preserve"> %. </w:t>
      </w:r>
      <w:r w:rsidR="005E1956" w:rsidRPr="001632DC">
        <w:t>Blood samples were not available for participant #</w:t>
      </w:r>
      <w:r w:rsidR="00604CDC" w:rsidRPr="001632DC">
        <w:t>12 at baseline.</w:t>
      </w:r>
    </w:p>
    <w:p w14:paraId="4787E566" w14:textId="43785C96" w:rsidR="00505B97" w:rsidRDefault="00505B97" w:rsidP="00274023">
      <w:pPr>
        <w:jc w:val="both"/>
        <w:rPr>
          <w:color w:val="000000" w:themeColor="text1"/>
        </w:rPr>
      </w:pPr>
    </w:p>
    <w:p w14:paraId="2E0177FE" w14:textId="77777777" w:rsidR="00505B97" w:rsidRDefault="00505B97" w:rsidP="00505B97">
      <w:pPr>
        <w:jc w:val="both"/>
      </w:pPr>
      <w:r>
        <w:t>LEPTIN</w:t>
      </w:r>
    </w:p>
    <w:p w14:paraId="09651EAC" w14:textId="6E1E4236" w:rsidR="00505B97" w:rsidRPr="001632DC" w:rsidRDefault="00505B97" w:rsidP="00505B97">
      <w:pPr>
        <w:jc w:val="both"/>
      </w:pPr>
      <w:r w:rsidRPr="001632DC">
        <w:t xml:space="preserve">Blood </w:t>
      </w:r>
      <w:r w:rsidR="003D22EF" w:rsidRPr="001632DC">
        <w:t>plasma</w:t>
      </w:r>
      <w:r w:rsidR="00DD7FC4" w:rsidRPr="001632DC">
        <w:t xml:space="preserve"> (EDTA-treated)</w:t>
      </w:r>
      <w:r w:rsidRPr="001632DC">
        <w:t xml:space="preserve"> concentrations of leptin were assayed via </w:t>
      </w:r>
      <w:r w:rsidR="006304D0" w:rsidRPr="001632DC">
        <w:t xml:space="preserve">commercially </w:t>
      </w:r>
      <w:r w:rsidR="009309E5" w:rsidRPr="001632DC">
        <w:t>available ELISAs</w:t>
      </w:r>
      <w:r w:rsidR="00976685" w:rsidRPr="001632DC">
        <w:t xml:space="preserve"> (Mercodia, Sweden). </w:t>
      </w:r>
      <w:r w:rsidRPr="001632DC">
        <w:t>Intra-assay coefficient of variation</w:t>
      </w:r>
      <w:r w:rsidR="00D90CA4">
        <w:t xml:space="preserve"> 3.2 ± 0.2</w:t>
      </w:r>
      <w:r w:rsidRPr="001632DC">
        <w:t xml:space="preserve"> %; inter-assay coefficient of variation</w:t>
      </w:r>
      <w:r w:rsidR="00D90CA4">
        <w:t xml:space="preserve"> 4.4 ± 1.0</w:t>
      </w:r>
      <w:r w:rsidRPr="001632DC">
        <w:t xml:space="preserve"> %. </w:t>
      </w:r>
    </w:p>
    <w:p w14:paraId="68D7610C" w14:textId="29B2FAF4" w:rsidR="00505B97" w:rsidRDefault="00505B97" w:rsidP="00505B97">
      <w:pPr>
        <w:jc w:val="both"/>
        <w:rPr>
          <w:color w:val="000000" w:themeColor="text1"/>
        </w:rPr>
      </w:pPr>
    </w:p>
    <w:p w14:paraId="3443B642" w14:textId="77777777" w:rsidR="00505B97" w:rsidRDefault="00505B97" w:rsidP="00505B97">
      <w:pPr>
        <w:jc w:val="both"/>
      </w:pPr>
      <w:r>
        <w:t>ADIPONECTIN</w:t>
      </w:r>
    </w:p>
    <w:p w14:paraId="24B3D3E0" w14:textId="43E1E29F" w:rsidR="00505B97" w:rsidRDefault="00505B97" w:rsidP="00505B97">
      <w:pPr>
        <w:jc w:val="both"/>
        <w:rPr>
          <w:color w:val="000000" w:themeColor="text1"/>
        </w:rPr>
      </w:pPr>
      <w:r w:rsidRPr="001632DC">
        <w:t xml:space="preserve">Blood </w:t>
      </w:r>
      <w:r w:rsidR="00977BE4" w:rsidRPr="001632DC">
        <w:t>plasma</w:t>
      </w:r>
      <w:r w:rsidR="00346821">
        <w:t xml:space="preserve"> (EDTA-treated)</w:t>
      </w:r>
      <w:r w:rsidRPr="001632DC">
        <w:t xml:space="preserve"> </w:t>
      </w:r>
      <w:r>
        <w:t xml:space="preserve">concentrations of adiponectin were assayed </w:t>
      </w:r>
      <w:r w:rsidR="00634A5B" w:rsidRPr="00ED660B">
        <w:t xml:space="preserve">using an automated analyser (RX Daytona; Randox Laboratories, Northern Ireland) and commercially available reagents (Randox Laboratories, Northern Ireland). </w:t>
      </w:r>
      <w:r>
        <w:t>Intra-assay coefficient of variation</w:t>
      </w:r>
      <w:r w:rsidR="008717F5">
        <w:t xml:space="preserve"> </w:t>
      </w:r>
      <w:r w:rsidR="00714FE6">
        <w:t>3.0</w:t>
      </w:r>
      <w:r>
        <w:t>%; inter-assay coefficient of variation</w:t>
      </w:r>
      <w:r w:rsidR="008717F5">
        <w:t xml:space="preserve"> </w:t>
      </w:r>
      <w:r w:rsidR="00714FE6">
        <w:t>3.1</w:t>
      </w:r>
      <w:r>
        <w:t>%.</w:t>
      </w:r>
      <w:r w:rsidRPr="00153925">
        <w:rPr>
          <w:color w:val="000000" w:themeColor="text1"/>
        </w:rPr>
        <w:t xml:space="preserve"> </w:t>
      </w:r>
    </w:p>
    <w:p w14:paraId="52522434" w14:textId="77777777" w:rsidR="00505B97" w:rsidRDefault="00505B97" w:rsidP="00505B97">
      <w:pPr>
        <w:jc w:val="both"/>
        <w:rPr>
          <w:color w:val="000000" w:themeColor="text1"/>
        </w:rPr>
      </w:pPr>
    </w:p>
    <w:p w14:paraId="087088D9" w14:textId="77777777" w:rsidR="00634A5B" w:rsidRDefault="00634A5B" w:rsidP="00A26C01">
      <w:pPr>
        <w:jc w:val="both"/>
        <w:rPr>
          <w:color w:val="FF0000"/>
        </w:rPr>
      </w:pPr>
    </w:p>
    <w:p w14:paraId="502E78C9" w14:textId="33EDD2E2" w:rsidR="0045376B" w:rsidRPr="00CD697F" w:rsidRDefault="0045376B" w:rsidP="00A26C01">
      <w:pPr>
        <w:jc w:val="both"/>
        <w:rPr>
          <w:color w:val="000000" w:themeColor="text1"/>
        </w:rPr>
      </w:pPr>
      <w:r w:rsidRPr="00CD697F">
        <w:rPr>
          <w:color w:val="000000" w:themeColor="text1"/>
        </w:rPr>
        <w:t>HOMA</w:t>
      </w:r>
      <w:r w:rsidR="00D13415" w:rsidRPr="00CD697F">
        <w:rPr>
          <w:color w:val="000000" w:themeColor="text1"/>
        </w:rPr>
        <w:t>2-IR</w:t>
      </w:r>
    </w:p>
    <w:p w14:paraId="18A1DB29" w14:textId="637C5993" w:rsidR="00D13415" w:rsidRPr="00CD697F" w:rsidRDefault="002E49B2" w:rsidP="00A26C01">
      <w:pPr>
        <w:jc w:val="both"/>
        <w:rPr>
          <w:color w:val="000000" w:themeColor="text1"/>
        </w:rPr>
      </w:pPr>
      <w:r w:rsidRPr="00CD697F">
        <w:rPr>
          <w:color w:val="000000" w:themeColor="text1"/>
        </w:rPr>
        <w:t xml:space="preserve">Homeostatic model of insulin resistance-2 (HOMA2-IR; Levy, Matthews and Hermans, 1998) was calculated using the University of Oxford HOMA2 calculator (downloaded from: </w:t>
      </w:r>
      <w:hyperlink r:id="rId8" w:history="1">
        <w:r w:rsidR="009D6E41" w:rsidRPr="00CD697F">
          <w:rPr>
            <w:rStyle w:val="Hyperlink"/>
            <w:color w:val="000000" w:themeColor="text1"/>
          </w:rPr>
          <w:t>https://www.dtu.ox.ac.uk/homacalculator/download.php</w:t>
        </w:r>
      </w:hyperlink>
      <w:r w:rsidR="009D6E41" w:rsidRPr="00CD697F">
        <w:rPr>
          <w:color w:val="000000" w:themeColor="text1"/>
        </w:rPr>
        <w:t>)</w:t>
      </w:r>
      <w:r w:rsidRPr="00CD697F">
        <w:rPr>
          <w:color w:val="000000" w:themeColor="text1"/>
        </w:rPr>
        <w:t>.</w:t>
      </w:r>
      <w:r w:rsidR="009D6E41" w:rsidRPr="00CD697F">
        <w:rPr>
          <w:color w:val="000000" w:themeColor="text1"/>
        </w:rPr>
        <w:t xml:space="preserve"> </w:t>
      </w:r>
      <w:r w:rsidR="00642071" w:rsidRPr="00CD697F">
        <w:rPr>
          <w:color w:val="000000" w:themeColor="text1"/>
        </w:rPr>
        <w:t xml:space="preserve">Blood samples were not available for </w:t>
      </w:r>
      <w:r w:rsidR="00387BB6" w:rsidRPr="00CD697F">
        <w:rPr>
          <w:color w:val="000000" w:themeColor="text1"/>
        </w:rPr>
        <w:t xml:space="preserve">five participants at baseline. </w:t>
      </w:r>
    </w:p>
    <w:p w14:paraId="0D9BFD56" w14:textId="77777777" w:rsidR="008F0C0A" w:rsidRDefault="008F0C0A" w:rsidP="00D67C28">
      <w:pPr>
        <w:jc w:val="both"/>
      </w:pPr>
    </w:p>
    <w:p w14:paraId="6B7B4CF2" w14:textId="135A6331" w:rsidR="00D67C28" w:rsidRDefault="00D67C28" w:rsidP="00D67C28">
      <w:pPr>
        <w:jc w:val="both"/>
      </w:pPr>
      <w:r>
        <w:lastRenderedPageBreak/>
        <w:t>GLUCOSE</w:t>
      </w:r>
    </w:p>
    <w:p w14:paraId="7443CC1C" w14:textId="66D7542E" w:rsidR="00D67C28" w:rsidRDefault="00D67C28" w:rsidP="00D67C28">
      <w:pPr>
        <w:jc w:val="both"/>
      </w:pPr>
      <w:r>
        <w:t>Blood plasma (EDTA-treated) concentrations of glucose were assayed using</w:t>
      </w:r>
      <w:r w:rsidR="00251A2E" w:rsidRPr="00251A2E">
        <w:rPr>
          <w:color w:val="FF0000"/>
        </w:rPr>
        <w:t xml:space="preserve"> </w:t>
      </w:r>
      <w:r w:rsidR="00251A2E" w:rsidRPr="001632DC">
        <w:t>an automated analyser (RX Daytona; Randox Laboratories, Northern Ireland) and commercially available reagents (Randox Laboratories, Northern Ireland)</w:t>
      </w:r>
      <w:r w:rsidRPr="001632DC">
        <w:t>.</w:t>
      </w:r>
      <w:r w:rsidRPr="00251A2E">
        <w:rPr>
          <w:color w:val="FF0000"/>
        </w:rPr>
        <w:t xml:space="preserve"> </w:t>
      </w:r>
      <w:r>
        <w:t xml:space="preserve">Intra-assay coefficient of variation </w:t>
      </w:r>
      <w:r w:rsidR="00F032F3">
        <w:t>3.0 ± 0.7</w:t>
      </w:r>
      <w:r>
        <w:t xml:space="preserve"> %; inter-assay coefficient of variation </w:t>
      </w:r>
      <w:r w:rsidR="00FC6EC5">
        <w:t>3.3 ± 0.3</w:t>
      </w:r>
      <w:r>
        <w:t xml:space="preserve"> %. </w:t>
      </w:r>
    </w:p>
    <w:p w14:paraId="4035799A" w14:textId="5E86D718" w:rsidR="002F4BD0" w:rsidRDefault="002F4BD0" w:rsidP="00D67C28">
      <w:pPr>
        <w:jc w:val="both"/>
      </w:pPr>
    </w:p>
    <w:p w14:paraId="11397AC0" w14:textId="77777777" w:rsidR="002F4BD0" w:rsidRDefault="002F4BD0" w:rsidP="002F4BD0">
      <w:pPr>
        <w:jc w:val="both"/>
      </w:pPr>
      <w:r>
        <w:t>INSULIN</w:t>
      </w:r>
    </w:p>
    <w:p w14:paraId="6526D1F8" w14:textId="4D3FAB48" w:rsidR="002F4BD0" w:rsidRPr="001632DC" w:rsidRDefault="002F4BD0" w:rsidP="002F4BD0">
      <w:pPr>
        <w:jc w:val="both"/>
      </w:pPr>
      <w:r w:rsidRPr="001632DC">
        <w:t xml:space="preserve">Blood plasma (EDTA-treated) concentrations of insulin were assayed via </w:t>
      </w:r>
      <w:r w:rsidR="00384721" w:rsidRPr="001632DC">
        <w:t>com</w:t>
      </w:r>
      <w:r w:rsidR="00906AC3" w:rsidRPr="001632DC">
        <w:t xml:space="preserve">mercially available ELISAs </w:t>
      </w:r>
      <w:r w:rsidR="003C1DE7" w:rsidRPr="001632DC">
        <w:t xml:space="preserve">(Mercodia, Sweden). </w:t>
      </w:r>
      <w:r w:rsidRPr="001632DC">
        <w:t>Intra-assay coefficient of variation</w:t>
      </w:r>
      <w:r w:rsidR="00FC6EC5">
        <w:t xml:space="preserve"> 5.5 ± 7.4</w:t>
      </w:r>
      <w:r w:rsidRPr="001632DC">
        <w:t xml:space="preserve"> %; inter-assay coefficient of variation</w:t>
      </w:r>
      <w:r w:rsidR="00150242">
        <w:t xml:space="preserve"> 10.6 ± 6.1</w:t>
      </w:r>
      <w:r w:rsidRPr="001632DC">
        <w:t xml:space="preserve"> %. </w:t>
      </w:r>
      <w:r w:rsidR="0093005E" w:rsidRPr="001632DC">
        <w:t>Baseline</w:t>
      </w:r>
      <w:r w:rsidRPr="001632DC">
        <w:t xml:space="preserve"> blood samples were not acquired from five pa</w:t>
      </w:r>
      <w:r w:rsidR="0093005E" w:rsidRPr="001632DC">
        <w:t>rticipants</w:t>
      </w:r>
      <w:r w:rsidRPr="001632DC">
        <w:t xml:space="preserve"> during the oral glucose tolerance test.</w:t>
      </w:r>
    </w:p>
    <w:p w14:paraId="12BE75C6" w14:textId="273B53C1" w:rsidR="00274023" w:rsidRDefault="00274023" w:rsidP="00274023">
      <w:pPr>
        <w:jc w:val="both"/>
      </w:pPr>
    </w:p>
    <w:p w14:paraId="2E1EDBDF" w14:textId="77777777" w:rsidR="00B67217" w:rsidRDefault="00B67217" w:rsidP="00B67217">
      <w:pPr>
        <w:jc w:val="both"/>
      </w:pPr>
      <w:r>
        <w:t>NON-ESTERIFIED FATTY ACIDS (NEFA)</w:t>
      </w:r>
    </w:p>
    <w:p w14:paraId="70E5D87E" w14:textId="64520A06" w:rsidR="00B67217" w:rsidRPr="001632DC" w:rsidRDefault="00B67217" w:rsidP="00B67217">
      <w:pPr>
        <w:jc w:val="both"/>
      </w:pPr>
      <w:r>
        <w:t>Blood plasma (EDTA-treated) concentrations of NEFA were assayed using</w:t>
      </w:r>
      <w:r w:rsidR="00251A2E" w:rsidRPr="001632DC">
        <w:t xml:space="preserve"> an automated analyser (RX Daytona; Randox Laboratories, Northern Ireland) and commercially available reagents (Randox Laboratories, Northern Ireland)</w:t>
      </w:r>
      <w:r w:rsidRPr="001632DC">
        <w:t xml:space="preserve">. Intra-assay coefficient of variation </w:t>
      </w:r>
      <w:r w:rsidR="00150242">
        <w:t>5.6 ± 2.0</w:t>
      </w:r>
      <w:r w:rsidRPr="001632DC">
        <w:t xml:space="preserve"> %; inter-assay coefficient of variation </w:t>
      </w:r>
      <w:r w:rsidR="007B794A">
        <w:t>8.8 ± 3.9</w:t>
      </w:r>
      <w:r w:rsidRPr="001632DC">
        <w:t xml:space="preserve"> %.</w:t>
      </w:r>
      <w:r w:rsidR="00845203" w:rsidRPr="001632DC">
        <w:t xml:space="preserve"> Blood samples were not availab</w:t>
      </w:r>
      <w:r w:rsidR="00A77BD3" w:rsidRPr="001632DC">
        <w:t>le from two participants at baseline.</w:t>
      </w:r>
    </w:p>
    <w:p w14:paraId="2A08C94A" w14:textId="77777777" w:rsidR="00B67217" w:rsidRDefault="00B67217" w:rsidP="00274023">
      <w:pPr>
        <w:jc w:val="both"/>
      </w:pPr>
    </w:p>
    <w:p w14:paraId="63AE3406" w14:textId="137240F5" w:rsidR="004958C2" w:rsidRPr="001632DC" w:rsidRDefault="004958C2" w:rsidP="00866303">
      <w:pPr>
        <w:jc w:val="both"/>
      </w:pPr>
      <w:r w:rsidRPr="001632DC">
        <w:t>GLYCEROL</w:t>
      </w:r>
    </w:p>
    <w:p w14:paraId="2132AEFB" w14:textId="5BD26211" w:rsidR="004958C2" w:rsidRPr="001632DC" w:rsidRDefault="00AC14CE" w:rsidP="00866303">
      <w:pPr>
        <w:jc w:val="both"/>
      </w:pPr>
      <w:r w:rsidRPr="001632DC">
        <w:t xml:space="preserve">Blood plasma (EDTA-treated) concentrations of glycerol were assayed using </w:t>
      </w:r>
      <w:r w:rsidR="00251A2E" w:rsidRPr="001632DC">
        <w:t>an automated analyser (RX Daytona; Randox Laboratories, Northern Ireland) and commercially available reagents (Randox Laboratories, Northern Ireland).</w:t>
      </w:r>
      <w:r w:rsidR="007B794A">
        <w:t xml:space="preserve"> </w:t>
      </w:r>
      <w:r w:rsidR="007B794A" w:rsidRPr="001632DC">
        <w:t xml:space="preserve">Intra-assay coefficient of variation </w:t>
      </w:r>
      <w:r w:rsidR="00A46A9C">
        <w:t>12.4 ± 5.0</w:t>
      </w:r>
      <w:r w:rsidR="007B794A" w:rsidRPr="001632DC">
        <w:t xml:space="preserve"> %; inter-assay coefficient of variation </w:t>
      </w:r>
      <w:r w:rsidR="00A46A9C">
        <w:t>17.7 ± 6.1</w:t>
      </w:r>
      <w:r w:rsidR="007B794A" w:rsidRPr="001632DC">
        <w:t xml:space="preserve"> %. Blood samples were not available from two participants at baseline</w:t>
      </w:r>
      <w:r w:rsidR="007B794A">
        <w:t>.</w:t>
      </w:r>
      <w:r w:rsidR="00D241C1" w:rsidRPr="001632DC">
        <w:t xml:space="preserve"> </w:t>
      </w:r>
      <w:r w:rsidR="00B906F3" w:rsidRPr="001632DC">
        <w:t>One blood sample was not available at baseline.</w:t>
      </w:r>
    </w:p>
    <w:p w14:paraId="41784409" w14:textId="77777777" w:rsidR="004958C2" w:rsidRDefault="004958C2" w:rsidP="00866303">
      <w:pPr>
        <w:jc w:val="both"/>
      </w:pPr>
    </w:p>
    <w:p w14:paraId="2FB8EA99" w14:textId="5148749B" w:rsidR="00866303" w:rsidRDefault="00866303" w:rsidP="00866303">
      <w:pPr>
        <w:jc w:val="both"/>
      </w:pPr>
      <w:r>
        <w:t>TRIACYLGLYCEROL</w:t>
      </w:r>
    </w:p>
    <w:p w14:paraId="640CB5DD" w14:textId="358A2D4D" w:rsidR="00866303" w:rsidRDefault="00866303" w:rsidP="00866303">
      <w:pPr>
        <w:jc w:val="both"/>
      </w:pPr>
      <w:r>
        <w:t xml:space="preserve">Blood </w:t>
      </w:r>
      <w:r w:rsidR="007D3CDA">
        <w:t>plasma</w:t>
      </w:r>
      <w:r>
        <w:t xml:space="preserve"> concentrations of triacylglycerol were assayed using</w:t>
      </w:r>
      <w:r w:rsidRPr="001632DC">
        <w:t xml:space="preserve"> </w:t>
      </w:r>
      <w:r w:rsidR="00BF4050" w:rsidRPr="001632DC">
        <w:t>an automated analyser (RX Daytona; Randox Laboratories, Northern Ireland) and commercially available reagents (Randox Laboratories, Northern Ireland)</w:t>
      </w:r>
      <w:r w:rsidRPr="001632DC">
        <w:t xml:space="preserve">. </w:t>
      </w:r>
      <w:r>
        <w:t xml:space="preserve">Intra-assay coefficient of variation </w:t>
      </w:r>
      <w:r w:rsidR="00EB4CFF">
        <w:t>4.4 ± 1.9</w:t>
      </w:r>
      <w:r>
        <w:t xml:space="preserve"> %; inter-assay coefficient of variation </w:t>
      </w:r>
      <w:r w:rsidR="005544F6">
        <w:t>4.9 ± 2.2</w:t>
      </w:r>
      <w:r>
        <w:t xml:space="preserve"> %.</w:t>
      </w:r>
    </w:p>
    <w:p w14:paraId="2351AC09" w14:textId="0F419CD4" w:rsidR="00660AA5" w:rsidRDefault="00660AA5" w:rsidP="00866303">
      <w:pPr>
        <w:jc w:val="both"/>
      </w:pPr>
    </w:p>
    <w:p w14:paraId="6575C889" w14:textId="407DFBE6" w:rsidR="00660AA5" w:rsidRDefault="00660AA5" w:rsidP="00660AA5">
      <w:pPr>
        <w:jc w:val="both"/>
      </w:pPr>
      <w:r>
        <w:t>PEPTIDE YY (PYY)</w:t>
      </w:r>
    </w:p>
    <w:p w14:paraId="632A3666" w14:textId="50B81C78" w:rsidR="00660AA5" w:rsidRPr="001632DC" w:rsidRDefault="00660AA5" w:rsidP="00866303">
      <w:pPr>
        <w:jc w:val="both"/>
      </w:pPr>
      <w:r w:rsidRPr="001632DC">
        <w:t>Blood plasma (EDTA-treated) concentrations of PYY were assayed via</w:t>
      </w:r>
      <w:r w:rsidR="008F7726" w:rsidRPr="001632DC">
        <w:t xml:space="preserve"> commercially available ELISAs (Merck-Millipore, United States)</w:t>
      </w:r>
      <w:r w:rsidRPr="001632DC">
        <w:t>. Intra-assay coefficient of variation</w:t>
      </w:r>
      <w:r w:rsidR="00140057">
        <w:t xml:space="preserve"> 17.3 ± 21.1</w:t>
      </w:r>
      <w:r w:rsidRPr="001632DC">
        <w:t xml:space="preserve"> %; inter-assay coefficient of variation</w:t>
      </w:r>
      <w:r w:rsidR="001A7FF5">
        <w:t xml:space="preserve"> </w:t>
      </w:r>
      <w:r w:rsidR="00140057">
        <w:t xml:space="preserve">18.6 ± 12.1 </w:t>
      </w:r>
      <w:r w:rsidRPr="001632DC">
        <w:t xml:space="preserve">%. Blood plasma samples were not available for </w:t>
      </w:r>
      <w:r w:rsidR="00B83591" w:rsidRPr="001632DC">
        <w:t>twelve</w:t>
      </w:r>
      <w:r w:rsidRPr="001632DC">
        <w:t xml:space="preserve"> </w:t>
      </w:r>
      <w:r w:rsidR="002B50F3" w:rsidRPr="001632DC">
        <w:t xml:space="preserve">participants. Blood plasma samples were not available for </w:t>
      </w:r>
      <w:r w:rsidR="00D86E41" w:rsidRPr="001632DC">
        <w:t>participant #15</w:t>
      </w:r>
      <w:r w:rsidR="002419F2" w:rsidRPr="001632DC">
        <w:t xml:space="preserve"> </w:t>
      </w:r>
      <w:r w:rsidR="00D86E41" w:rsidRPr="001632DC">
        <w:t>Post 0 minutes; participant #33</w:t>
      </w:r>
      <w:r w:rsidR="002419F2" w:rsidRPr="001632DC">
        <w:t xml:space="preserve"> </w:t>
      </w:r>
      <w:r w:rsidR="0068369C" w:rsidRPr="001632DC">
        <w:t>Pre 0 minutes and Post</w:t>
      </w:r>
      <w:r w:rsidR="00F94053" w:rsidRPr="001632DC">
        <w:t xml:space="preserve">: 0, 60 and 120 minutes. Blood </w:t>
      </w:r>
      <w:r w:rsidR="001C7C8A" w:rsidRPr="001632DC">
        <w:t xml:space="preserve">plasma samples were not available for participant #32 </w:t>
      </w:r>
      <w:r w:rsidR="000F4623" w:rsidRPr="001632DC">
        <w:t xml:space="preserve">Pre 0 and 180 minutes, for participant #34 </w:t>
      </w:r>
      <w:r w:rsidR="007306C2" w:rsidRPr="001632DC">
        <w:t>Pre 0 and 60 minutes</w:t>
      </w:r>
      <w:r w:rsidR="009173D1" w:rsidRPr="001632DC">
        <w:t xml:space="preserve"> and participant #55 Post 0 minutes.</w:t>
      </w:r>
      <w:r w:rsidR="000F4623" w:rsidRPr="001632DC">
        <w:t xml:space="preserve"> </w:t>
      </w:r>
    </w:p>
    <w:p w14:paraId="0D6D1447" w14:textId="37CCC81A" w:rsidR="00984279" w:rsidRPr="001632DC" w:rsidRDefault="002B50F3" w:rsidP="00866303">
      <w:pPr>
        <w:jc w:val="both"/>
      </w:pPr>
      <w:r w:rsidRPr="001632DC">
        <w:t xml:space="preserve"> </w:t>
      </w:r>
    </w:p>
    <w:p w14:paraId="71CE08C1" w14:textId="77777777" w:rsidR="00984279" w:rsidRDefault="00984279" w:rsidP="00984279">
      <w:pPr>
        <w:jc w:val="both"/>
      </w:pPr>
      <w:r>
        <w:t>ACYLATED GHRELIN</w:t>
      </w:r>
    </w:p>
    <w:p w14:paraId="0832DA2A" w14:textId="15BEB3E4" w:rsidR="00984279" w:rsidRPr="001632DC" w:rsidRDefault="000A1084" w:rsidP="00984279">
      <w:pPr>
        <w:jc w:val="both"/>
      </w:pPr>
      <w:r w:rsidRPr="001632DC">
        <w:t>1 mL of w</w:t>
      </w:r>
      <w:r w:rsidR="002D30DD" w:rsidRPr="001632DC">
        <w:t>hole blood</w:t>
      </w:r>
      <w:r w:rsidR="00984279" w:rsidRPr="001632DC">
        <w:t xml:space="preserve"> (EDTA-treated)</w:t>
      </w:r>
      <w:r w:rsidR="00C43615" w:rsidRPr="001632DC">
        <w:t xml:space="preserve"> </w:t>
      </w:r>
      <w:r w:rsidR="00984279" w:rsidRPr="001632DC">
        <w:t xml:space="preserve">concentrations of acylated ghrelin were treated with </w:t>
      </w:r>
      <w:r w:rsidR="00060043" w:rsidRPr="001632DC">
        <w:t>50 μL of a p-hydroxymercuribenzoic acid solution (prepared as 100 mM concentrate solution in potassium phosphate buffer containing 1.2 % 10 m-NaOH).</w:t>
      </w:r>
      <w:r w:rsidR="00A70674" w:rsidRPr="001632DC">
        <w:t xml:space="preserve"> Samples were </w:t>
      </w:r>
      <w:r w:rsidR="00A70674" w:rsidRPr="001632DC">
        <w:lastRenderedPageBreak/>
        <w:t xml:space="preserve">assayed </w:t>
      </w:r>
      <w:r w:rsidR="004938F8" w:rsidRPr="001632DC">
        <w:t xml:space="preserve">using commercially available ELISAs (Merck-Millipore, United States). </w:t>
      </w:r>
      <w:r w:rsidR="00984279" w:rsidRPr="001632DC">
        <w:t xml:space="preserve">Intra-assay coefficient of variation </w:t>
      </w:r>
      <w:r w:rsidR="00366CE7">
        <w:t xml:space="preserve">16.7 ± 32.0 </w:t>
      </w:r>
      <w:r w:rsidR="00984279" w:rsidRPr="001632DC">
        <w:t xml:space="preserve">%; inter-assay coefficient of variation </w:t>
      </w:r>
      <w:r w:rsidR="002F0A69">
        <w:t xml:space="preserve">27.7 ± 20.9 </w:t>
      </w:r>
      <w:r w:rsidR="00984279" w:rsidRPr="001632DC">
        <w:t xml:space="preserve">%. Blood samples were not available for </w:t>
      </w:r>
      <w:r w:rsidR="00B23771" w:rsidRPr="001632DC">
        <w:t xml:space="preserve">six </w:t>
      </w:r>
      <w:r w:rsidR="009F6750" w:rsidRPr="001632DC">
        <w:t>participants</w:t>
      </w:r>
      <w:r w:rsidR="00446EC8" w:rsidRPr="001632DC">
        <w:t xml:space="preserve">. </w:t>
      </w:r>
      <w:r w:rsidR="004F697F" w:rsidRPr="001632DC">
        <w:t xml:space="preserve">Blood samples were not </w:t>
      </w:r>
      <w:r w:rsidR="00B20D82" w:rsidRPr="001632DC">
        <w:t>available</w:t>
      </w:r>
      <w:r w:rsidR="004F697F" w:rsidRPr="001632DC">
        <w:t xml:space="preserve"> for participant #56</w:t>
      </w:r>
      <w:r w:rsidR="00B20D82" w:rsidRPr="001632DC">
        <w:t xml:space="preserve"> Pre </w:t>
      </w:r>
      <w:r w:rsidR="00315498" w:rsidRPr="001632DC">
        <w:t>0</w:t>
      </w:r>
      <w:r w:rsidR="00B20D82" w:rsidRPr="001632DC">
        <w:t xml:space="preserve"> and 60 minutes. </w:t>
      </w:r>
      <w:r w:rsidR="009F1D1B" w:rsidRPr="001632DC">
        <w:t>Blood samples were not available for participant #</w:t>
      </w:r>
      <w:r w:rsidR="00426412" w:rsidRPr="001632DC">
        <w:t>9 Post 60 minutes and participant #43</w:t>
      </w:r>
      <w:r w:rsidR="00F508A5" w:rsidRPr="001632DC">
        <w:t xml:space="preserve"> Pre: 0, 60, </w:t>
      </w:r>
      <w:r w:rsidR="00EE3942" w:rsidRPr="001632DC">
        <w:t xml:space="preserve">120, 180 and 270 minutes.  </w:t>
      </w:r>
    </w:p>
    <w:p w14:paraId="2B7359C3" w14:textId="77777777" w:rsidR="006A1681" w:rsidRDefault="006A1681" w:rsidP="00FD0998">
      <w:pPr>
        <w:jc w:val="both"/>
      </w:pPr>
    </w:p>
    <w:p w14:paraId="5D79B138" w14:textId="47BFAA45" w:rsidR="006A1681" w:rsidRDefault="00FB2C5C" w:rsidP="00FD0998">
      <w:pPr>
        <w:jc w:val="both"/>
      </w:pPr>
      <w:r>
        <w:t>C-TERMINAL TELOPEPTIDE</w:t>
      </w:r>
      <w:r w:rsidR="004267D4">
        <w:t xml:space="preserve"> of TYPE I COLLAGEN (CTX)</w:t>
      </w:r>
    </w:p>
    <w:p w14:paraId="1EF3F827" w14:textId="60AFA92D" w:rsidR="004267D4" w:rsidRPr="001632DC" w:rsidRDefault="004267D4" w:rsidP="00FD0998">
      <w:pPr>
        <w:jc w:val="both"/>
      </w:pPr>
      <w:r w:rsidRPr="001632DC">
        <w:t xml:space="preserve">Blood Plasma </w:t>
      </w:r>
      <w:r w:rsidR="00ED62E4" w:rsidRPr="001632DC">
        <w:t>(EDTA-treated) concentrations of CTX</w:t>
      </w:r>
      <w:r w:rsidR="00445B7B" w:rsidRPr="001632DC">
        <w:t xml:space="preserve"> were assayed using </w:t>
      </w:r>
      <w:r w:rsidR="004F5EED" w:rsidRPr="001632DC">
        <w:rPr>
          <w:iCs/>
        </w:rPr>
        <w:t xml:space="preserve">commercially available ELISAs (Immunodiagnostic Systems, UK). </w:t>
      </w:r>
      <w:r w:rsidR="004F5EED" w:rsidRPr="001632DC">
        <w:t>Intra-assay coefficient of variation=</w:t>
      </w:r>
      <w:r w:rsidR="00A83BC5">
        <w:t>5.9%</w:t>
      </w:r>
      <w:r w:rsidR="004F5EED" w:rsidRPr="001632DC">
        <w:t>; inter-assay coefficient of variation=</w:t>
      </w:r>
      <w:r w:rsidR="00A83BC5">
        <w:t>10.5%</w:t>
      </w:r>
      <w:r w:rsidR="004F5EED" w:rsidRPr="001632DC">
        <w:t>.</w:t>
      </w:r>
      <w:r w:rsidR="00E440B5" w:rsidRPr="001632DC">
        <w:t xml:space="preserve"> Blood samples were not available for six participants.</w:t>
      </w:r>
    </w:p>
    <w:p w14:paraId="04242302" w14:textId="795FC18A" w:rsidR="00981617" w:rsidRPr="001632DC" w:rsidRDefault="00981617" w:rsidP="00FD0998">
      <w:pPr>
        <w:jc w:val="both"/>
      </w:pPr>
    </w:p>
    <w:p w14:paraId="6990C5B7" w14:textId="79393AE9" w:rsidR="00981617" w:rsidRPr="001632DC" w:rsidRDefault="00DC67C0" w:rsidP="00FD0998">
      <w:pPr>
        <w:jc w:val="both"/>
      </w:pPr>
      <w:r w:rsidRPr="001632DC">
        <w:t xml:space="preserve">URINE OSMOLALITY/ </w:t>
      </w:r>
      <w:r w:rsidR="00782C81" w:rsidRPr="001632DC">
        <w:t xml:space="preserve">SPECIFIC GRAVITY </w:t>
      </w:r>
    </w:p>
    <w:p w14:paraId="2395E64C" w14:textId="4FAD6340" w:rsidR="00782C81" w:rsidRPr="001632DC" w:rsidRDefault="00DF721D" w:rsidP="00FD0998">
      <w:pPr>
        <w:jc w:val="both"/>
      </w:pPr>
      <w:r w:rsidRPr="001632DC">
        <w:t xml:space="preserve">Urine samples were analysed for specific gravity </w:t>
      </w:r>
      <w:r w:rsidR="009E777B" w:rsidRPr="001632DC">
        <w:t xml:space="preserve">via refractometry (SUR-NE Clinical, Japan) and </w:t>
      </w:r>
      <w:r w:rsidR="00E13F41" w:rsidRPr="001632DC">
        <w:t>Osmo</w:t>
      </w:r>
      <w:r w:rsidR="00C5626D" w:rsidRPr="001632DC">
        <w:t xml:space="preserve">lality by the freezing-point depression method </w:t>
      </w:r>
      <w:r w:rsidR="005F5F40" w:rsidRPr="001632DC">
        <w:t>(Micro Osmometer 3300; Advanced Instruments, USA).</w:t>
      </w:r>
    </w:p>
    <w:p w14:paraId="6471D928" w14:textId="01820E20" w:rsidR="006A1681" w:rsidRPr="001632DC" w:rsidRDefault="006A1681" w:rsidP="00FD0998">
      <w:pPr>
        <w:jc w:val="both"/>
      </w:pPr>
    </w:p>
    <w:p w14:paraId="75649E64" w14:textId="4B57DF54" w:rsidR="005F71FF" w:rsidRPr="001632DC" w:rsidRDefault="005F71FF" w:rsidP="00FD0998">
      <w:pPr>
        <w:jc w:val="both"/>
      </w:pPr>
      <w:r w:rsidRPr="001632DC">
        <w:t>PROTEIN</w:t>
      </w:r>
      <w:r w:rsidR="00067E23" w:rsidRPr="001632DC">
        <w:t xml:space="preserve"> OXIDATION</w:t>
      </w:r>
    </w:p>
    <w:p w14:paraId="051F680B" w14:textId="1A587535" w:rsidR="00067E23" w:rsidRDefault="00540976" w:rsidP="00FD0998">
      <w:pPr>
        <w:jc w:val="both"/>
      </w:pPr>
      <w:r w:rsidRPr="001632DC">
        <w:t>Individual participants t</w:t>
      </w:r>
      <w:r w:rsidR="004C0526" w:rsidRPr="001632DC">
        <w:t>o</w:t>
      </w:r>
      <w:r w:rsidR="00F06D5F" w:rsidRPr="001632DC">
        <w:t xml:space="preserve">tal </w:t>
      </w:r>
      <w:r w:rsidRPr="001632DC">
        <w:t xml:space="preserve">urine output was collected </w:t>
      </w:r>
      <w:r w:rsidR="00BB1244" w:rsidRPr="001632DC">
        <w:t>during the 3-hour postprandial period after meal 1</w:t>
      </w:r>
      <w:r w:rsidR="00D0555F" w:rsidRPr="001632DC">
        <w:t xml:space="preserve"> to correct rates of energy and substrate metabolism</w:t>
      </w:r>
      <w:r w:rsidR="005436AB" w:rsidRPr="001632DC">
        <w:t xml:space="preserve">. </w:t>
      </w:r>
    </w:p>
    <w:p w14:paraId="4E95346A" w14:textId="4D08AF42" w:rsidR="00C56ADB" w:rsidRDefault="00C56ADB" w:rsidP="00FD0998">
      <w:pPr>
        <w:jc w:val="both"/>
      </w:pPr>
    </w:p>
    <w:p w14:paraId="61384E44" w14:textId="10D19C5A" w:rsidR="00C56ADB" w:rsidRPr="0075252F" w:rsidRDefault="009F433C" w:rsidP="00FD0998">
      <w:pPr>
        <w:jc w:val="both"/>
        <w:rPr>
          <w:color w:val="000000" w:themeColor="text1"/>
        </w:rPr>
      </w:pPr>
      <w:r w:rsidRPr="0075252F">
        <w:rPr>
          <w:rStyle w:val="Strong"/>
          <w:b w:val="0"/>
          <w:bCs w:val="0"/>
          <w:color w:val="000000" w:themeColor="text1"/>
          <w:shd w:val="clear" w:color="auto" w:fill="FFFFFF"/>
        </w:rPr>
        <w:t>ACETYL-COA CARBOXYLASE 1</w:t>
      </w:r>
      <w:r w:rsidRPr="0075252F">
        <w:rPr>
          <w:rStyle w:val="Strong"/>
          <w:rFonts w:ascii="Arial" w:hAnsi="Arial" w:cs="Arial"/>
          <w:color w:val="000000" w:themeColor="text1"/>
          <w:sz w:val="27"/>
          <w:szCs w:val="27"/>
          <w:shd w:val="clear" w:color="auto" w:fill="FFFFFF"/>
        </w:rPr>
        <w:t xml:space="preserve"> </w:t>
      </w:r>
      <w:r w:rsidR="00E12F2E" w:rsidRPr="0075252F">
        <w:rPr>
          <w:color w:val="000000" w:themeColor="text1"/>
        </w:rPr>
        <w:t>(A</w:t>
      </w:r>
      <w:r w:rsidR="00B81D61" w:rsidRPr="0075252F">
        <w:rPr>
          <w:color w:val="000000" w:themeColor="text1"/>
        </w:rPr>
        <w:t>CACA</w:t>
      </w:r>
      <w:r w:rsidR="00E12F2E" w:rsidRPr="0075252F">
        <w:rPr>
          <w:color w:val="000000" w:themeColor="text1"/>
        </w:rPr>
        <w:t>)</w:t>
      </w:r>
    </w:p>
    <w:p w14:paraId="1B0E30E1" w14:textId="428DAFE1" w:rsidR="00B81D61" w:rsidRPr="0075252F" w:rsidRDefault="00A06E4D" w:rsidP="00FD0998">
      <w:pPr>
        <w:jc w:val="both"/>
        <w:rPr>
          <w:color w:val="000000" w:themeColor="text1"/>
        </w:rPr>
      </w:pPr>
      <w:r w:rsidRPr="0075252F">
        <w:rPr>
          <w:color w:val="000000" w:themeColor="text1"/>
        </w:rPr>
        <w:t>Sub</w:t>
      </w:r>
      <w:r w:rsidR="002E7767" w:rsidRPr="0075252F">
        <w:rPr>
          <w:color w:val="000000" w:themeColor="text1"/>
        </w:rPr>
        <w:t xml:space="preserve">cutaneous </w:t>
      </w:r>
      <w:r w:rsidR="00F05A68" w:rsidRPr="0075252F">
        <w:rPr>
          <w:color w:val="000000" w:themeColor="text1"/>
        </w:rPr>
        <w:t xml:space="preserve">ACACA </w:t>
      </w:r>
      <w:r w:rsidR="00B15A92" w:rsidRPr="0075252F">
        <w:rPr>
          <w:color w:val="000000" w:themeColor="text1"/>
        </w:rPr>
        <w:t xml:space="preserve">(Hs01046047_m1) </w:t>
      </w:r>
      <w:r w:rsidR="006E2CC7" w:rsidRPr="0075252F">
        <w:rPr>
          <w:color w:val="000000" w:themeColor="text1"/>
        </w:rPr>
        <w:t>w</w:t>
      </w:r>
      <w:r w:rsidR="00FB67B7" w:rsidRPr="0075252F">
        <w:rPr>
          <w:color w:val="000000" w:themeColor="text1"/>
        </w:rPr>
        <w:t>ere</w:t>
      </w:r>
      <w:r w:rsidR="006E2CC7" w:rsidRPr="0075252F">
        <w:rPr>
          <w:color w:val="000000" w:themeColor="text1"/>
        </w:rPr>
        <w:t xml:space="preserve"> assayed </w:t>
      </w:r>
      <w:r w:rsidR="005D42F8" w:rsidRPr="0075252F">
        <w:rPr>
          <w:color w:val="000000" w:themeColor="text1"/>
        </w:rPr>
        <w:t xml:space="preserve">using </w:t>
      </w:r>
      <w:r w:rsidR="00FB67B7" w:rsidRPr="0075252F">
        <w:rPr>
          <w:color w:val="000000" w:themeColor="text1"/>
        </w:rPr>
        <w:t>Applied Biosystems, run on a real-time PCR system (7900HT, Applied Biosystems)</w:t>
      </w:r>
      <w:r w:rsidR="002606A3" w:rsidRPr="0075252F">
        <w:rPr>
          <w:color w:val="000000" w:themeColor="text1"/>
        </w:rPr>
        <w:t xml:space="preserve">. </w:t>
      </w:r>
      <w:r w:rsidR="00832854" w:rsidRPr="0075252F">
        <w:rPr>
          <w:color w:val="000000" w:themeColor="text1"/>
        </w:rPr>
        <w:t xml:space="preserve">Subcutaneous adipose tissue biopsies were </w:t>
      </w:r>
      <w:r w:rsidR="00E44130" w:rsidRPr="0075252F">
        <w:rPr>
          <w:color w:val="000000" w:themeColor="text1"/>
        </w:rPr>
        <w:t xml:space="preserve">not available for </w:t>
      </w:r>
      <w:r w:rsidR="00EB3B87" w:rsidRPr="0075252F">
        <w:rPr>
          <w:color w:val="000000" w:themeColor="text1"/>
        </w:rPr>
        <w:t xml:space="preserve">18 participants. </w:t>
      </w:r>
    </w:p>
    <w:p w14:paraId="65EC0436" w14:textId="2A6A7CC3" w:rsidR="00B81D61" w:rsidRPr="0075252F" w:rsidRDefault="00B81D61" w:rsidP="00FD0998">
      <w:pPr>
        <w:jc w:val="both"/>
        <w:rPr>
          <w:color w:val="000000" w:themeColor="text1"/>
        </w:rPr>
      </w:pPr>
    </w:p>
    <w:p w14:paraId="524102F4" w14:textId="4C997557" w:rsidR="00B81D61" w:rsidRPr="0075252F" w:rsidRDefault="00AF5FCD" w:rsidP="00FD0998">
      <w:pPr>
        <w:jc w:val="both"/>
        <w:rPr>
          <w:color w:val="000000" w:themeColor="text1"/>
        </w:rPr>
      </w:pPr>
      <w:r w:rsidRPr="0075252F">
        <w:rPr>
          <w:color w:val="000000" w:themeColor="text1"/>
        </w:rPr>
        <w:t xml:space="preserve">ACADM </w:t>
      </w:r>
      <w:r w:rsidRPr="0075252F">
        <w:rPr>
          <w:color w:val="000000" w:themeColor="text1"/>
          <w:shd w:val="clear" w:color="auto" w:fill="FFFFFF"/>
        </w:rPr>
        <w:t>ACYL-COA DEHYDROGENASE MEDIUM CHAIN (</w:t>
      </w:r>
      <w:r w:rsidRPr="0075252F">
        <w:rPr>
          <w:color w:val="000000" w:themeColor="text1"/>
        </w:rPr>
        <w:t>ACADM)</w:t>
      </w:r>
    </w:p>
    <w:p w14:paraId="1C21C0CF" w14:textId="325B9517" w:rsidR="00C12E51" w:rsidRPr="0075252F" w:rsidRDefault="00C12E51" w:rsidP="00C12E51">
      <w:pPr>
        <w:jc w:val="both"/>
        <w:rPr>
          <w:color w:val="000000" w:themeColor="text1"/>
        </w:rPr>
      </w:pPr>
      <w:r w:rsidRPr="0075252F">
        <w:rPr>
          <w:color w:val="000000" w:themeColor="text1"/>
        </w:rPr>
        <w:t xml:space="preserve">Subcutaneous ACADM </w:t>
      </w:r>
      <w:r w:rsidR="008345DE" w:rsidRPr="0075252F">
        <w:rPr>
          <w:color w:val="000000" w:themeColor="text1"/>
        </w:rPr>
        <w:t xml:space="preserve">(Hs00936580_m1)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B31449B" w14:textId="77777777" w:rsidR="00C12E51" w:rsidRPr="0075252F" w:rsidRDefault="00C12E51" w:rsidP="00FD0998">
      <w:pPr>
        <w:jc w:val="both"/>
        <w:rPr>
          <w:color w:val="000000" w:themeColor="text1"/>
        </w:rPr>
      </w:pPr>
    </w:p>
    <w:p w14:paraId="470EEF1B" w14:textId="6DE873CF" w:rsidR="00B81D61" w:rsidRPr="0075252F" w:rsidRDefault="00D166BA" w:rsidP="00FD0998">
      <w:pPr>
        <w:jc w:val="both"/>
        <w:rPr>
          <w:color w:val="000000" w:themeColor="text1"/>
        </w:rPr>
      </w:pPr>
      <w:r w:rsidRPr="0075252F">
        <w:rPr>
          <w:color w:val="000000" w:themeColor="text1"/>
        </w:rPr>
        <w:t>ADIPONECTIN</w:t>
      </w:r>
      <w:r w:rsidR="009C54F9" w:rsidRPr="0075252F">
        <w:rPr>
          <w:color w:val="000000" w:themeColor="text1"/>
        </w:rPr>
        <w:t xml:space="preserve"> (</w:t>
      </w:r>
      <w:r w:rsidR="00B81D61" w:rsidRPr="0075252F">
        <w:rPr>
          <w:color w:val="000000" w:themeColor="text1"/>
        </w:rPr>
        <w:t>AD</w:t>
      </w:r>
      <w:r w:rsidR="00E86707" w:rsidRPr="0075252F">
        <w:rPr>
          <w:color w:val="000000" w:themeColor="text1"/>
        </w:rPr>
        <w:t>IPOQ</w:t>
      </w:r>
      <w:r w:rsidR="009C54F9" w:rsidRPr="0075252F">
        <w:rPr>
          <w:color w:val="000000" w:themeColor="text1"/>
        </w:rPr>
        <w:t>)</w:t>
      </w:r>
    </w:p>
    <w:p w14:paraId="484727AF" w14:textId="1FDAFC91" w:rsidR="008345DE" w:rsidRPr="0075252F" w:rsidRDefault="008345DE" w:rsidP="008345DE">
      <w:pPr>
        <w:jc w:val="both"/>
        <w:rPr>
          <w:color w:val="000000" w:themeColor="text1"/>
        </w:rPr>
      </w:pPr>
      <w:r w:rsidRPr="0075252F">
        <w:rPr>
          <w:color w:val="000000" w:themeColor="text1"/>
        </w:rPr>
        <w:t xml:space="preserve">Subcutaneous ADIPOQ </w:t>
      </w:r>
      <w:r w:rsidR="00375490" w:rsidRPr="0075252F">
        <w:rPr>
          <w:color w:val="000000" w:themeColor="text1"/>
        </w:rPr>
        <w:t>(Hs00605917_m1)</w:t>
      </w:r>
      <w:r w:rsidR="00ED3F03"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534F8C7" w14:textId="7C38B1B2" w:rsidR="008345DE" w:rsidRPr="0075252F" w:rsidRDefault="008345DE" w:rsidP="00FD0998">
      <w:pPr>
        <w:jc w:val="both"/>
        <w:rPr>
          <w:color w:val="000000" w:themeColor="text1"/>
        </w:rPr>
      </w:pPr>
    </w:p>
    <w:p w14:paraId="13C441C5" w14:textId="77777777" w:rsidR="00ED3F03" w:rsidRPr="0075252F" w:rsidRDefault="00ED3F03" w:rsidP="00FD0998">
      <w:pPr>
        <w:jc w:val="both"/>
        <w:rPr>
          <w:color w:val="000000" w:themeColor="text1"/>
        </w:rPr>
      </w:pPr>
    </w:p>
    <w:p w14:paraId="2AAEF852" w14:textId="4D7D7961" w:rsidR="00E86707" w:rsidRPr="0075252F" w:rsidRDefault="00132836" w:rsidP="00FD0998">
      <w:pPr>
        <w:jc w:val="both"/>
        <w:rPr>
          <w:color w:val="000000" w:themeColor="text1"/>
        </w:rPr>
      </w:pPr>
      <w:r w:rsidRPr="0075252F">
        <w:rPr>
          <w:color w:val="000000" w:themeColor="text1"/>
          <w:shd w:val="clear" w:color="auto" w:fill="FFFFFF"/>
        </w:rPr>
        <w:t>AKT SERINE/THREONINE KINASE 2 (</w:t>
      </w:r>
      <w:r w:rsidRPr="0075252F">
        <w:rPr>
          <w:color w:val="000000" w:themeColor="text1"/>
        </w:rPr>
        <w:t>AKT2)</w:t>
      </w:r>
    </w:p>
    <w:p w14:paraId="2883C135" w14:textId="3E53AAEB" w:rsidR="00ED3F03" w:rsidRPr="0075252F" w:rsidRDefault="00ED3F03" w:rsidP="00ED3F03">
      <w:pPr>
        <w:jc w:val="both"/>
        <w:rPr>
          <w:color w:val="000000" w:themeColor="text1"/>
        </w:rPr>
      </w:pPr>
      <w:r w:rsidRPr="0075252F">
        <w:rPr>
          <w:color w:val="000000" w:themeColor="text1"/>
        </w:rPr>
        <w:t xml:space="preserve">Subcutaneous AKT2 </w:t>
      </w:r>
      <w:r w:rsidR="008C0074" w:rsidRPr="0075252F">
        <w:rPr>
          <w:color w:val="000000" w:themeColor="text1"/>
        </w:rPr>
        <w:t xml:space="preserve">(Hs00609846_m1)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9547714" w14:textId="286909EB" w:rsidR="00E86707" w:rsidRPr="0075252F" w:rsidRDefault="00E86707" w:rsidP="00FD0998">
      <w:pPr>
        <w:jc w:val="both"/>
        <w:rPr>
          <w:color w:val="000000" w:themeColor="text1"/>
        </w:rPr>
      </w:pPr>
    </w:p>
    <w:p w14:paraId="60AE3311" w14:textId="15C47F2B" w:rsidR="00E86707" w:rsidRPr="0075252F" w:rsidRDefault="004B05FB" w:rsidP="00FD0998">
      <w:pPr>
        <w:jc w:val="both"/>
        <w:rPr>
          <w:b/>
          <w:bCs/>
          <w:color w:val="000000" w:themeColor="text1"/>
        </w:rPr>
      </w:pPr>
      <w:r w:rsidRPr="0075252F">
        <w:rPr>
          <w:rStyle w:val="Strong"/>
          <w:b w:val="0"/>
          <w:bCs w:val="0"/>
          <w:color w:val="000000" w:themeColor="text1"/>
          <w:shd w:val="clear" w:color="auto" w:fill="FFFFFF"/>
        </w:rPr>
        <w:t>ANGIOPOIETIN-LIKE 4 (</w:t>
      </w:r>
      <w:r w:rsidRPr="0075252F">
        <w:rPr>
          <w:color w:val="000000" w:themeColor="text1"/>
        </w:rPr>
        <w:t>ANGPTL4</w:t>
      </w:r>
      <w:r w:rsidRPr="0075252F">
        <w:rPr>
          <w:b/>
          <w:bCs/>
          <w:color w:val="000000" w:themeColor="text1"/>
        </w:rPr>
        <w:t>)</w:t>
      </w:r>
    </w:p>
    <w:p w14:paraId="6197E492" w14:textId="4984D087" w:rsidR="00ED3F03" w:rsidRPr="0075252F" w:rsidRDefault="00ED3F03" w:rsidP="00ED3F03">
      <w:pPr>
        <w:jc w:val="both"/>
        <w:rPr>
          <w:color w:val="000000" w:themeColor="text1"/>
        </w:rPr>
      </w:pPr>
      <w:r w:rsidRPr="0075252F">
        <w:rPr>
          <w:color w:val="000000" w:themeColor="text1"/>
        </w:rPr>
        <w:t xml:space="preserve">Subcutaneous </w:t>
      </w:r>
      <w:r w:rsidR="008C0074" w:rsidRPr="0075252F">
        <w:rPr>
          <w:color w:val="000000" w:themeColor="text1"/>
        </w:rPr>
        <w:t>ANGPTL4</w:t>
      </w:r>
      <w:r w:rsidR="004B60F9" w:rsidRPr="0075252F">
        <w:rPr>
          <w:color w:val="000000" w:themeColor="text1"/>
        </w:rPr>
        <w:t xml:space="preserve"> (Hs01101127_m1)</w:t>
      </w:r>
      <w:r w:rsidR="008C00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46ECC4BE" w14:textId="3FC5E434" w:rsidR="00E86707" w:rsidRPr="0075252F" w:rsidRDefault="00872530" w:rsidP="00FD0998">
      <w:pPr>
        <w:jc w:val="both"/>
        <w:rPr>
          <w:color w:val="000000" w:themeColor="text1"/>
        </w:rPr>
      </w:pPr>
      <w:r w:rsidRPr="0075252F">
        <w:rPr>
          <w:color w:val="000000" w:themeColor="text1"/>
          <w:shd w:val="clear" w:color="auto" w:fill="FFFFFF"/>
        </w:rPr>
        <w:lastRenderedPageBreak/>
        <w:t>APELIN (</w:t>
      </w:r>
      <w:r w:rsidRPr="0075252F">
        <w:rPr>
          <w:color w:val="000000" w:themeColor="text1"/>
        </w:rPr>
        <w:t>APLN)</w:t>
      </w:r>
    </w:p>
    <w:p w14:paraId="3C3CCA8A" w14:textId="3D510053"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APLN</w:t>
      </w:r>
      <w:r w:rsidR="00072197" w:rsidRPr="0075252F">
        <w:rPr>
          <w:color w:val="000000" w:themeColor="text1"/>
        </w:rPr>
        <w:t xml:space="preserve"> (Hs00175572_m1)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37E75FF" w14:textId="7581779F" w:rsidR="00E86707" w:rsidRPr="0075252F" w:rsidRDefault="00E86707" w:rsidP="00FD0998">
      <w:pPr>
        <w:jc w:val="both"/>
        <w:rPr>
          <w:color w:val="000000" w:themeColor="text1"/>
        </w:rPr>
      </w:pPr>
    </w:p>
    <w:p w14:paraId="02D7139D" w14:textId="62ACD840" w:rsidR="00E86707" w:rsidRPr="0075252F" w:rsidRDefault="0023464D" w:rsidP="00FD0998">
      <w:pPr>
        <w:jc w:val="both"/>
        <w:rPr>
          <w:color w:val="000000" w:themeColor="text1"/>
        </w:rPr>
      </w:pPr>
      <w:r w:rsidRPr="0075252F">
        <w:rPr>
          <w:color w:val="000000" w:themeColor="text1"/>
        </w:rPr>
        <w:t>C/EBP</w:t>
      </w:r>
      <w:r w:rsidR="00030E41" w:rsidRPr="0075252F">
        <w:rPr>
          <w:color w:val="000000" w:themeColor="text1"/>
        </w:rPr>
        <w:t>- ALPHA (</w:t>
      </w:r>
      <w:r w:rsidR="00E86707" w:rsidRPr="0075252F">
        <w:rPr>
          <w:color w:val="000000" w:themeColor="text1"/>
        </w:rPr>
        <w:t>CEBPA</w:t>
      </w:r>
      <w:r w:rsidR="00030E41" w:rsidRPr="0075252F">
        <w:rPr>
          <w:color w:val="000000" w:themeColor="text1"/>
        </w:rPr>
        <w:t>)</w:t>
      </w:r>
    </w:p>
    <w:p w14:paraId="0332E807" w14:textId="1CAD1EDD"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 xml:space="preserve">CEBPA </w:t>
      </w:r>
      <w:r w:rsidR="00B40BD1" w:rsidRPr="0075252F">
        <w:rPr>
          <w:color w:val="000000" w:themeColor="text1"/>
        </w:rPr>
        <w:t xml:space="preserve">(Hs00269972_s1)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9758857" w14:textId="4CFC266E" w:rsidR="00E86707" w:rsidRPr="0075252F" w:rsidRDefault="00E86707" w:rsidP="00FD0998">
      <w:pPr>
        <w:jc w:val="both"/>
        <w:rPr>
          <w:color w:val="000000" w:themeColor="text1"/>
        </w:rPr>
      </w:pPr>
    </w:p>
    <w:p w14:paraId="005B25FA" w14:textId="0A885561" w:rsidR="00E86707" w:rsidRPr="0075252F" w:rsidRDefault="00030E41" w:rsidP="00FD0998">
      <w:pPr>
        <w:jc w:val="both"/>
        <w:rPr>
          <w:color w:val="000000" w:themeColor="text1"/>
        </w:rPr>
      </w:pPr>
      <w:r w:rsidRPr="0075252F">
        <w:rPr>
          <w:color w:val="000000" w:themeColor="text1"/>
        </w:rPr>
        <w:t>C/EBP- BETA (</w:t>
      </w:r>
      <w:r w:rsidR="004F66CD" w:rsidRPr="0075252F">
        <w:rPr>
          <w:color w:val="000000" w:themeColor="text1"/>
        </w:rPr>
        <w:t>CEBPB</w:t>
      </w:r>
      <w:r w:rsidRPr="0075252F">
        <w:rPr>
          <w:color w:val="000000" w:themeColor="text1"/>
        </w:rPr>
        <w:t>)</w:t>
      </w:r>
    </w:p>
    <w:p w14:paraId="5B714731" w14:textId="728A75F5" w:rsidR="00ED3F03" w:rsidRPr="0075252F" w:rsidRDefault="00ED3F03" w:rsidP="00ED3F03">
      <w:pPr>
        <w:jc w:val="both"/>
        <w:rPr>
          <w:color w:val="000000" w:themeColor="text1"/>
        </w:rPr>
      </w:pPr>
      <w:r w:rsidRPr="0075252F">
        <w:rPr>
          <w:color w:val="000000" w:themeColor="text1"/>
        </w:rPr>
        <w:t>Subcutaneous</w:t>
      </w:r>
      <w:r w:rsidR="005B7406" w:rsidRPr="0075252F">
        <w:rPr>
          <w:color w:val="000000" w:themeColor="text1"/>
        </w:rPr>
        <w:t xml:space="preserve"> CEBPB</w:t>
      </w:r>
      <w:r w:rsidRPr="0075252F">
        <w:rPr>
          <w:color w:val="000000" w:themeColor="text1"/>
        </w:rPr>
        <w:t xml:space="preserve"> </w:t>
      </w:r>
      <w:r w:rsidR="003C4FBD" w:rsidRPr="0075252F">
        <w:rPr>
          <w:color w:val="000000" w:themeColor="text1"/>
        </w:rPr>
        <w:t xml:space="preserve">(Hs00942496_s1)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A2B5539" w14:textId="77777777" w:rsidR="00ED3F03" w:rsidRPr="0075252F" w:rsidRDefault="00ED3F03" w:rsidP="00FD0998">
      <w:pPr>
        <w:jc w:val="both"/>
        <w:rPr>
          <w:color w:val="000000" w:themeColor="text1"/>
        </w:rPr>
      </w:pPr>
    </w:p>
    <w:p w14:paraId="56A8222A" w14:textId="4A9A0EBD" w:rsidR="004F66CD" w:rsidRPr="0075252F" w:rsidRDefault="00871B22" w:rsidP="00FD0998">
      <w:pPr>
        <w:jc w:val="both"/>
        <w:rPr>
          <w:color w:val="000000" w:themeColor="text1"/>
        </w:rPr>
      </w:pPr>
      <w:r w:rsidRPr="0075252F">
        <w:rPr>
          <w:color w:val="000000" w:themeColor="text1"/>
          <w:shd w:val="clear" w:color="auto" w:fill="FFFFFF"/>
        </w:rPr>
        <w:t>CELL DEATH INDUCING DFFA LIKE EFFECTOR A</w:t>
      </w:r>
      <w:r w:rsidRPr="0075252F">
        <w:rPr>
          <w:color w:val="000000" w:themeColor="text1"/>
        </w:rPr>
        <w:t xml:space="preserve"> (CIDEA)</w:t>
      </w:r>
    </w:p>
    <w:p w14:paraId="23C51AB0" w14:textId="2A734D65"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CIDEA</w:t>
      </w:r>
      <w:r w:rsidR="00AB0527" w:rsidRPr="0075252F">
        <w:rPr>
          <w:color w:val="000000" w:themeColor="text1"/>
        </w:rPr>
        <w:t xml:space="preserve"> (Hs00154455_m1)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5E5BFA3" w14:textId="79F587E2" w:rsidR="004F66CD" w:rsidRPr="0075252F" w:rsidRDefault="004F66CD" w:rsidP="00FD0998">
      <w:pPr>
        <w:jc w:val="both"/>
        <w:rPr>
          <w:color w:val="000000" w:themeColor="text1"/>
        </w:rPr>
      </w:pPr>
    </w:p>
    <w:p w14:paraId="5B6AE7BB" w14:textId="7108361E" w:rsidR="004F66CD" w:rsidRPr="0075252F" w:rsidRDefault="00C01794" w:rsidP="00FD0998">
      <w:pPr>
        <w:jc w:val="both"/>
        <w:rPr>
          <w:color w:val="000000" w:themeColor="text1"/>
        </w:rPr>
      </w:pPr>
      <w:r w:rsidRPr="0075252F">
        <w:rPr>
          <w:color w:val="000000" w:themeColor="text1"/>
          <w:shd w:val="clear" w:color="auto" w:fill="FFFFFF"/>
        </w:rPr>
        <w:t>CELL DEATH INDUCING DFFA LIKE EFFECTOR C</w:t>
      </w:r>
      <w:r w:rsidRPr="0075252F">
        <w:rPr>
          <w:color w:val="000000" w:themeColor="text1"/>
        </w:rPr>
        <w:t xml:space="preserve"> (CIDEC)</w:t>
      </w:r>
    </w:p>
    <w:p w14:paraId="5B9D9D64" w14:textId="646A5695"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CIDEC</w:t>
      </w:r>
      <w:r w:rsidR="004919E1" w:rsidRPr="0075252F">
        <w:rPr>
          <w:color w:val="000000" w:themeColor="text1"/>
        </w:rPr>
        <w:t xml:space="preserve"> (Hs01032998_m1)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4A94B3BB" w14:textId="45BFDA09" w:rsidR="004F66CD" w:rsidRPr="0075252F" w:rsidRDefault="004F66CD" w:rsidP="00FD0998">
      <w:pPr>
        <w:jc w:val="both"/>
        <w:rPr>
          <w:color w:val="000000" w:themeColor="text1"/>
        </w:rPr>
      </w:pPr>
    </w:p>
    <w:p w14:paraId="6C1C6196" w14:textId="1877BF10" w:rsidR="004F66CD" w:rsidRPr="0075252F" w:rsidRDefault="000E1362" w:rsidP="00FD0998">
      <w:pPr>
        <w:jc w:val="both"/>
        <w:rPr>
          <w:color w:val="000000" w:themeColor="text1"/>
        </w:rPr>
      </w:pPr>
      <w:r w:rsidRPr="0075252F">
        <w:rPr>
          <w:color w:val="000000" w:themeColor="text1"/>
          <w:shd w:val="clear" w:color="auto" w:fill="FFFFFF"/>
        </w:rPr>
        <w:t>CIRCADIAN LOCOMOTOR OUTPUT CYCLES KAPUT</w:t>
      </w:r>
      <w:r w:rsidRPr="0075252F">
        <w:rPr>
          <w:color w:val="000000" w:themeColor="text1"/>
        </w:rPr>
        <w:t xml:space="preserve"> (CLOCK)</w:t>
      </w:r>
    </w:p>
    <w:p w14:paraId="48ABDBCC" w14:textId="51D6ACC8"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CLOCK</w:t>
      </w:r>
      <w:r w:rsidR="00E9067C" w:rsidRPr="0075252F">
        <w:rPr>
          <w:color w:val="000000" w:themeColor="text1"/>
        </w:rPr>
        <w:t xml:space="preserve"> (Hs00231857_m1)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0C9640A2" w14:textId="7B3A396D" w:rsidR="004F66CD" w:rsidRPr="0075252F" w:rsidRDefault="004F66CD" w:rsidP="00FD0998">
      <w:pPr>
        <w:jc w:val="both"/>
        <w:rPr>
          <w:color w:val="000000" w:themeColor="text1"/>
        </w:rPr>
      </w:pPr>
    </w:p>
    <w:p w14:paraId="03B9FBBE" w14:textId="62AF816E" w:rsidR="004F66CD" w:rsidRPr="0075252F" w:rsidRDefault="00D02D21" w:rsidP="00FD0998">
      <w:pPr>
        <w:jc w:val="both"/>
        <w:rPr>
          <w:color w:val="000000" w:themeColor="text1"/>
        </w:rPr>
      </w:pPr>
      <w:r w:rsidRPr="0075252F">
        <w:rPr>
          <w:color w:val="000000" w:themeColor="text1"/>
          <w:shd w:val="clear" w:color="auto" w:fill="FFFFFF"/>
        </w:rPr>
        <w:t>CARNITINE PALMITOYLTRANSFERASE 1A (</w:t>
      </w:r>
      <w:r w:rsidRPr="0075252F">
        <w:rPr>
          <w:color w:val="000000" w:themeColor="text1"/>
        </w:rPr>
        <w:t>CPT1A)</w:t>
      </w:r>
    </w:p>
    <w:p w14:paraId="53E30DFD" w14:textId="640D4A38" w:rsidR="004F66CD" w:rsidRPr="0075252F" w:rsidRDefault="00ED3F03" w:rsidP="00FD0998">
      <w:pPr>
        <w:jc w:val="both"/>
        <w:rPr>
          <w:color w:val="000000" w:themeColor="text1"/>
        </w:rPr>
      </w:pPr>
      <w:r w:rsidRPr="0075252F">
        <w:rPr>
          <w:color w:val="000000" w:themeColor="text1"/>
        </w:rPr>
        <w:t xml:space="preserve">Subcutaneous </w:t>
      </w:r>
      <w:r w:rsidR="005B7406" w:rsidRPr="0075252F">
        <w:rPr>
          <w:color w:val="000000" w:themeColor="text1"/>
        </w:rPr>
        <w:t>CPT1A</w:t>
      </w:r>
      <w:r w:rsidR="003B468F" w:rsidRPr="0075252F">
        <w:rPr>
          <w:color w:val="000000" w:themeColor="text1"/>
        </w:rPr>
        <w:t xml:space="preserve"> (Hs00912671_m1)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C9FFC91" w14:textId="77777777" w:rsidR="00ED3F03" w:rsidRPr="0075252F" w:rsidRDefault="00ED3F03" w:rsidP="00FD0998">
      <w:pPr>
        <w:jc w:val="both"/>
        <w:rPr>
          <w:color w:val="000000" w:themeColor="text1"/>
        </w:rPr>
      </w:pPr>
    </w:p>
    <w:p w14:paraId="351492D0" w14:textId="589023FE" w:rsidR="004F66CD" w:rsidRPr="0075252F" w:rsidRDefault="00243748" w:rsidP="00FD0998">
      <w:pPr>
        <w:jc w:val="both"/>
        <w:rPr>
          <w:color w:val="000000" w:themeColor="text1"/>
        </w:rPr>
      </w:pPr>
      <w:r w:rsidRPr="0075252F">
        <w:rPr>
          <w:color w:val="000000" w:themeColor="text1"/>
          <w:shd w:val="clear" w:color="auto" w:fill="FFFFFF"/>
        </w:rPr>
        <w:t>CAMP RESPONSIVE ELEMENT BINDING PROTEIN 1 (</w:t>
      </w:r>
      <w:r w:rsidRPr="0075252F">
        <w:rPr>
          <w:color w:val="000000" w:themeColor="text1"/>
        </w:rPr>
        <w:t>CREB1)</w:t>
      </w:r>
    </w:p>
    <w:p w14:paraId="7409F232" w14:textId="21C7D577" w:rsidR="00ED3F03" w:rsidRPr="0075252F" w:rsidRDefault="00ED3F03" w:rsidP="00ED3F03">
      <w:pPr>
        <w:jc w:val="both"/>
        <w:rPr>
          <w:color w:val="000000" w:themeColor="text1"/>
        </w:rPr>
      </w:pPr>
      <w:r w:rsidRPr="0075252F">
        <w:rPr>
          <w:color w:val="000000" w:themeColor="text1"/>
        </w:rPr>
        <w:t xml:space="preserve">Subcutaneous </w:t>
      </w:r>
      <w:r w:rsidR="005B7406" w:rsidRPr="0075252F">
        <w:rPr>
          <w:color w:val="000000" w:themeColor="text1"/>
        </w:rPr>
        <w:t>CREB1</w:t>
      </w:r>
      <w:r w:rsidR="00650F69" w:rsidRPr="0075252F">
        <w:rPr>
          <w:color w:val="000000" w:themeColor="text1"/>
        </w:rPr>
        <w:t xml:space="preserve"> (Hs00231713_m1)</w:t>
      </w:r>
      <w:r w:rsidR="005B7406"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3E93EC0" w14:textId="1C33488B" w:rsidR="004F66CD" w:rsidRPr="0075252F" w:rsidRDefault="004F66CD" w:rsidP="00FD0998">
      <w:pPr>
        <w:jc w:val="both"/>
        <w:rPr>
          <w:color w:val="000000" w:themeColor="text1"/>
        </w:rPr>
      </w:pPr>
    </w:p>
    <w:p w14:paraId="7672C7CC" w14:textId="0BC8A21F" w:rsidR="004F66CD" w:rsidRPr="0075252F" w:rsidRDefault="00F8755D" w:rsidP="00FD0998">
      <w:pPr>
        <w:jc w:val="both"/>
        <w:rPr>
          <w:color w:val="000000" w:themeColor="text1"/>
        </w:rPr>
      </w:pPr>
      <w:r w:rsidRPr="0075252F">
        <w:rPr>
          <w:color w:val="000000" w:themeColor="text1"/>
          <w:shd w:val="clear" w:color="auto" w:fill="FFFFFF"/>
        </w:rPr>
        <w:t>CRYPTOCHROME CIRCADIAN REGULATOR 1 (</w:t>
      </w:r>
      <w:r w:rsidRPr="0075252F">
        <w:rPr>
          <w:color w:val="000000" w:themeColor="text1"/>
        </w:rPr>
        <w:t>CRY1)</w:t>
      </w:r>
    </w:p>
    <w:p w14:paraId="20A93B44" w14:textId="2AB802C5" w:rsidR="00ED3F03" w:rsidRPr="0075252F" w:rsidRDefault="00ED3F03" w:rsidP="00ED3F03">
      <w:pPr>
        <w:jc w:val="both"/>
        <w:rPr>
          <w:color w:val="000000" w:themeColor="text1"/>
        </w:rPr>
      </w:pPr>
      <w:r w:rsidRPr="0075252F">
        <w:rPr>
          <w:color w:val="000000" w:themeColor="text1"/>
        </w:rPr>
        <w:t xml:space="preserve">Subcutaneous </w:t>
      </w:r>
      <w:r w:rsidR="004550CF" w:rsidRPr="0075252F">
        <w:rPr>
          <w:color w:val="000000" w:themeColor="text1"/>
        </w:rPr>
        <w:t>CRY1</w:t>
      </w:r>
      <w:r w:rsidR="00DB062B" w:rsidRPr="0075252F">
        <w:rPr>
          <w:color w:val="000000" w:themeColor="text1"/>
        </w:rPr>
        <w:t xml:space="preserve"> (Hs00172734_m1)</w:t>
      </w:r>
      <w:r w:rsidR="004550CF"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6357A35" w14:textId="1C9DEE91" w:rsidR="00BA6DDA" w:rsidRPr="0075252F" w:rsidRDefault="00BA6DDA" w:rsidP="00FD0998">
      <w:pPr>
        <w:jc w:val="both"/>
        <w:rPr>
          <w:color w:val="000000" w:themeColor="text1"/>
        </w:rPr>
      </w:pPr>
    </w:p>
    <w:p w14:paraId="2FA59F01" w14:textId="77777777" w:rsidR="00AC0E78" w:rsidRDefault="00AC0E78" w:rsidP="00FD0998">
      <w:pPr>
        <w:jc w:val="both"/>
        <w:rPr>
          <w:color w:val="000000" w:themeColor="text1"/>
        </w:rPr>
      </w:pPr>
    </w:p>
    <w:p w14:paraId="71D5E3B3" w14:textId="6CE5316A" w:rsidR="00BA6DDA" w:rsidRPr="0075252F" w:rsidRDefault="002216A3" w:rsidP="00FD0998">
      <w:pPr>
        <w:jc w:val="both"/>
        <w:rPr>
          <w:color w:val="000000" w:themeColor="text1"/>
        </w:rPr>
      </w:pPr>
      <w:r w:rsidRPr="0075252F">
        <w:rPr>
          <w:color w:val="000000" w:themeColor="text1"/>
        </w:rPr>
        <w:lastRenderedPageBreak/>
        <w:t>FATTY ACID BINDING PROTEIN 4 (</w:t>
      </w:r>
      <w:r w:rsidR="00BA6DDA" w:rsidRPr="0075252F">
        <w:rPr>
          <w:color w:val="000000" w:themeColor="text1"/>
        </w:rPr>
        <w:t>FABP4</w:t>
      </w:r>
      <w:r w:rsidRPr="0075252F">
        <w:rPr>
          <w:color w:val="000000" w:themeColor="text1"/>
        </w:rPr>
        <w:t>)</w:t>
      </w:r>
    </w:p>
    <w:p w14:paraId="17536B75" w14:textId="545999B3" w:rsidR="00ED3F03" w:rsidRPr="0075252F" w:rsidRDefault="00ED3F03" w:rsidP="00ED3F03">
      <w:pPr>
        <w:jc w:val="both"/>
        <w:rPr>
          <w:color w:val="000000" w:themeColor="text1"/>
        </w:rPr>
      </w:pPr>
      <w:r w:rsidRPr="0075252F">
        <w:rPr>
          <w:color w:val="000000" w:themeColor="text1"/>
        </w:rPr>
        <w:t xml:space="preserve">Subcutaneous </w:t>
      </w:r>
      <w:r w:rsidR="004550CF" w:rsidRPr="0075252F">
        <w:rPr>
          <w:color w:val="000000" w:themeColor="text1"/>
        </w:rPr>
        <w:t xml:space="preserve">FABP4 </w:t>
      </w:r>
      <w:r w:rsidR="00E75FA5" w:rsidRPr="0075252F">
        <w:rPr>
          <w:color w:val="000000" w:themeColor="text1"/>
        </w:rPr>
        <w:t xml:space="preserve">(Hs01086177_m1)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304C49F5" w14:textId="79BE165D" w:rsidR="00BA6DDA" w:rsidRPr="0075252F" w:rsidRDefault="00BA6DDA" w:rsidP="00FD0998">
      <w:pPr>
        <w:jc w:val="both"/>
        <w:rPr>
          <w:color w:val="000000" w:themeColor="text1"/>
        </w:rPr>
      </w:pPr>
    </w:p>
    <w:p w14:paraId="0C6CF03D" w14:textId="01B5816E" w:rsidR="00BA6DDA" w:rsidRPr="0075252F" w:rsidRDefault="00372ABE" w:rsidP="00FD0998">
      <w:pPr>
        <w:jc w:val="both"/>
        <w:rPr>
          <w:color w:val="000000" w:themeColor="text1"/>
        </w:rPr>
      </w:pPr>
      <w:r w:rsidRPr="0075252F">
        <w:rPr>
          <w:color w:val="000000" w:themeColor="text1"/>
        </w:rPr>
        <w:t>FATTY ACID SYNTHASE (</w:t>
      </w:r>
      <w:r w:rsidR="00BA6DDA" w:rsidRPr="0075252F">
        <w:rPr>
          <w:color w:val="000000" w:themeColor="text1"/>
        </w:rPr>
        <w:t>FASN</w:t>
      </w:r>
      <w:r w:rsidRPr="0075252F">
        <w:rPr>
          <w:color w:val="000000" w:themeColor="text1"/>
        </w:rPr>
        <w:t>)</w:t>
      </w:r>
    </w:p>
    <w:p w14:paraId="764E337A" w14:textId="6DAA0B8E" w:rsidR="00ED3F03" w:rsidRPr="0075252F" w:rsidRDefault="00ED3F03" w:rsidP="00ED3F03">
      <w:pPr>
        <w:jc w:val="both"/>
        <w:rPr>
          <w:color w:val="000000" w:themeColor="text1"/>
        </w:rPr>
      </w:pPr>
      <w:r w:rsidRPr="0075252F">
        <w:rPr>
          <w:color w:val="000000" w:themeColor="text1"/>
        </w:rPr>
        <w:t xml:space="preserve">Subcutaneous </w:t>
      </w:r>
      <w:r w:rsidR="004550CF" w:rsidRPr="0075252F">
        <w:rPr>
          <w:color w:val="000000" w:themeColor="text1"/>
        </w:rPr>
        <w:t>FASN</w:t>
      </w:r>
      <w:r w:rsidR="006D1B9E" w:rsidRPr="0075252F">
        <w:rPr>
          <w:color w:val="000000" w:themeColor="text1"/>
        </w:rPr>
        <w:t xml:space="preserve"> (Hs00188012_m1)</w:t>
      </w:r>
      <w:r w:rsidR="004550CF"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47601E63" w14:textId="4D7A9282" w:rsidR="00BA6DDA" w:rsidRPr="0075252F" w:rsidRDefault="00BA6DDA" w:rsidP="00FD0998">
      <w:pPr>
        <w:jc w:val="both"/>
        <w:rPr>
          <w:color w:val="000000" w:themeColor="text1"/>
        </w:rPr>
      </w:pPr>
    </w:p>
    <w:p w14:paraId="72535732" w14:textId="5D4AF028" w:rsidR="00BA6DDA" w:rsidRPr="0075252F" w:rsidRDefault="00FE0097" w:rsidP="00FD0998">
      <w:pPr>
        <w:jc w:val="both"/>
        <w:rPr>
          <w:color w:val="000000" w:themeColor="text1"/>
        </w:rPr>
      </w:pPr>
      <w:r w:rsidRPr="0075252F">
        <w:rPr>
          <w:color w:val="000000" w:themeColor="text1"/>
        </w:rPr>
        <w:t>HYDROXYACYL-COA DEHYDROGENASE TRIFUNCTIONAL MULTIENZYME COMPLEX SUBUNIT BETA (</w:t>
      </w:r>
      <w:r w:rsidR="00BA6DDA" w:rsidRPr="0075252F">
        <w:rPr>
          <w:color w:val="000000" w:themeColor="text1"/>
        </w:rPr>
        <w:t>HADHB</w:t>
      </w:r>
      <w:r w:rsidRPr="0075252F">
        <w:rPr>
          <w:color w:val="000000" w:themeColor="text1"/>
        </w:rPr>
        <w:t>)</w:t>
      </w:r>
    </w:p>
    <w:p w14:paraId="3119D691" w14:textId="06F6EB87" w:rsidR="00ED3F03" w:rsidRPr="0075252F" w:rsidRDefault="00ED3F03" w:rsidP="00ED3F03">
      <w:pPr>
        <w:jc w:val="both"/>
        <w:rPr>
          <w:color w:val="000000" w:themeColor="text1"/>
        </w:rPr>
      </w:pPr>
      <w:r w:rsidRPr="0075252F">
        <w:rPr>
          <w:color w:val="000000" w:themeColor="text1"/>
        </w:rPr>
        <w:t xml:space="preserve">Subcutaneous </w:t>
      </w:r>
      <w:r w:rsidR="004550CF" w:rsidRPr="0075252F">
        <w:rPr>
          <w:color w:val="000000" w:themeColor="text1"/>
        </w:rPr>
        <w:t>HADHB</w:t>
      </w:r>
      <w:r w:rsidR="008D6E9E" w:rsidRPr="0075252F">
        <w:rPr>
          <w:color w:val="000000" w:themeColor="text1"/>
        </w:rPr>
        <w:t xml:space="preserve"> (Hs01027270_g1)</w:t>
      </w:r>
      <w:r w:rsidR="004550CF"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BD1893F" w14:textId="208AF50E" w:rsidR="00BA6DDA" w:rsidRPr="0075252F" w:rsidRDefault="00BA6DDA" w:rsidP="00FD0998">
      <w:pPr>
        <w:jc w:val="both"/>
        <w:rPr>
          <w:color w:val="000000" w:themeColor="text1"/>
        </w:rPr>
      </w:pPr>
    </w:p>
    <w:p w14:paraId="0DE7D249" w14:textId="141917D1" w:rsidR="00BA6DDA" w:rsidRPr="0075252F" w:rsidRDefault="004128CA" w:rsidP="00FD0998">
      <w:pPr>
        <w:jc w:val="both"/>
        <w:rPr>
          <w:color w:val="000000" w:themeColor="text1"/>
        </w:rPr>
      </w:pPr>
      <w:r w:rsidRPr="0075252F">
        <w:rPr>
          <w:color w:val="000000" w:themeColor="text1"/>
        </w:rPr>
        <w:t>INSULIN LIKE GROWTH FACTOR 1 RECEPTOR (</w:t>
      </w:r>
      <w:r w:rsidR="00BA6DDA" w:rsidRPr="0075252F">
        <w:rPr>
          <w:color w:val="000000" w:themeColor="text1"/>
        </w:rPr>
        <w:t>IGF1R</w:t>
      </w:r>
      <w:r w:rsidRPr="0075252F">
        <w:rPr>
          <w:color w:val="000000" w:themeColor="text1"/>
        </w:rPr>
        <w:t>)</w:t>
      </w:r>
    </w:p>
    <w:p w14:paraId="47494D45" w14:textId="65F8533C"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IGF1R</w:t>
      </w:r>
      <w:r w:rsidR="0015099D" w:rsidRPr="0075252F">
        <w:rPr>
          <w:color w:val="000000" w:themeColor="text1"/>
        </w:rPr>
        <w:t xml:space="preserve"> (Hs00609566_m1)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573F085F" w14:textId="28311940" w:rsidR="00BA6DDA" w:rsidRPr="0075252F" w:rsidRDefault="00BA6DDA" w:rsidP="00FD0998">
      <w:pPr>
        <w:jc w:val="both"/>
        <w:rPr>
          <w:color w:val="000000" w:themeColor="text1"/>
        </w:rPr>
      </w:pPr>
    </w:p>
    <w:p w14:paraId="7EA285F0" w14:textId="6C495B07" w:rsidR="00BA6DDA" w:rsidRPr="0075252F" w:rsidRDefault="00703D65" w:rsidP="00FD0998">
      <w:pPr>
        <w:jc w:val="both"/>
        <w:rPr>
          <w:color w:val="000000" w:themeColor="text1"/>
        </w:rPr>
      </w:pPr>
      <w:r w:rsidRPr="0075252F">
        <w:rPr>
          <w:color w:val="000000" w:themeColor="text1"/>
        </w:rPr>
        <w:t xml:space="preserve">INTERLEUKIN 6 </w:t>
      </w:r>
      <w:r w:rsidR="002D225B" w:rsidRPr="0075252F">
        <w:rPr>
          <w:color w:val="000000" w:themeColor="text1"/>
        </w:rPr>
        <w:t>(</w:t>
      </w:r>
      <w:r w:rsidR="00BA6DDA" w:rsidRPr="0075252F">
        <w:rPr>
          <w:color w:val="000000" w:themeColor="text1"/>
        </w:rPr>
        <w:t>IL6</w:t>
      </w:r>
      <w:r w:rsidR="002D225B" w:rsidRPr="0075252F">
        <w:rPr>
          <w:color w:val="000000" w:themeColor="text1"/>
        </w:rPr>
        <w:t>)</w:t>
      </w:r>
    </w:p>
    <w:p w14:paraId="62262CAD" w14:textId="423B084D"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 xml:space="preserve">IL6 </w:t>
      </w:r>
      <w:r w:rsidR="00FB6FD3" w:rsidRPr="0075252F">
        <w:rPr>
          <w:color w:val="000000" w:themeColor="text1"/>
        </w:rPr>
        <w:t xml:space="preserve">(Hs00985639_m1)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6B28B42E" w14:textId="139526C0" w:rsidR="003B62FB" w:rsidRPr="0075252F" w:rsidRDefault="003B62FB" w:rsidP="00FD0998">
      <w:pPr>
        <w:jc w:val="both"/>
        <w:rPr>
          <w:color w:val="000000" w:themeColor="text1"/>
        </w:rPr>
      </w:pPr>
    </w:p>
    <w:p w14:paraId="5BFC45BA" w14:textId="6A8EFFFE" w:rsidR="003B62FB" w:rsidRPr="0075252F" w:rsidRDefault="00586051" w:rsidP="00FD0998">
      <w:pPr>
        <w:jc w:val="both"/>
        <w:rPr>
          <w:color w:val="000000" w:themeColor="text1"/>
        </w:rPr>
      </w:pPr>
      <w:r w:rsidRPr="0075252F">
        <w:rPr>
          <w:color w:val="000000" w:themeColor="text1"/>
        </w:rPr>
        <w:t>INSULIN RECEPTOR SUBSTRATE 1 (</w:t>
      </w:r>
      <w:r w:rsidR="003B62FB" w:rsidRPr="0075252F">
        <w:rPr>
          <w:color w:val="000000" w:themeColor="text1"/>
        </w:rPr>
        <w:t>IRS1</w:t>
      </w:r>
      <w:r w:rsidRPr="0075252F">
        <w:rPr>
          <w:color w:val="000000" w:themeColor="text1"/>
        </w:rPr>
        <w:t>)</w:t>
      </w:r>
    </w:p>
    <w:p w14:paraId="6D8CD62A" w14:textId="2855C9F1"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IRS1</w:t>
      </w:r>
      <w:r w:rsidR="00AB05B6" w:rsidRPr="0075252F">
        <w:rPr>
          <w:color w:val="000000" w:themeColor="text1"/>
        </w:rPr>
        <w:t xml:space="preserve"> (Hs00178563_m1)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E6AD3EA" w14:textId="53509046" w:rsidR="003B62FB" w:rsidRPr="0075252F" w:rsidRDefault="003B62FB" w:rsidP="00FD0998">
      <w:pPr>
        <w:jc w:val="both"/>
        <w:rPr>
          <w:color w:val="000000" w:themeColor="text1"/>
        </w:rPr>
      </w:pPr>
    </w:p>
    <w:p w14:paraId="54BBA638" w14:textId="1F717AE0" w:rsidR="003B62FB" w:rsidRPr="0075252F" w:rsidRDefault="009C0F5B" w:rsidP="00FD0998">
      <w:pPr>
        <w:jc w:val="both"/>
        <w:rPr>
          <w:color w:val="000000" w:themeColor="text1"/>
        </w:rPr>
      </w:pPr>
      <w:r w:rsidRPr="0075252F">
        <w:rPr>
          <w:color w:val="000000" w:themeColor="text1"/>
        </w:rPr>
        <w:t>INSULIN RECEPTOR SUBSTRATE 2</w:t>
      </w:r>
      <w:r w:rsidRPr="0075252F">
        <w:rPr>
          <w:b/>
          <w:bCs/>
          <w:color w:val="000000" w:themeColor="text1"/>
        </w:rPr>
        <w:t xml:space="preserve"> </w:t>
      </w:r>
      <w:r w:rsidRPr="0075252F">
        <w:rPr>
          <w:color w:val="000000" w:themeColor="text1"/>
        </w:rPr>
        <w:t>(</w:t>
      </w:r>
      <w:r w:rsidR="003B62FB" w:rsidRPr="0075252F">
        <w:rPr>
          <w:color w:val="000000" w:themeColor="text1"/>
        </w:rPr>
        <w:t>IRS2</w:t>
      </w:r>
      <w:r w:rsidRPr="0075252F">
        <w:rPr>
          <w:color w:val="000000" w:themeColor="text1"/>
        </w:rPr>
        <w:t>)</w:t>
      </w:r>
    </w:p>
    <w:p w14:paraId="11C4EBD3" w14:textId="7FA304E4" w:rsidR="003B62FB" w:rsidRPr="0075252F" w:rsidRDefault="00ED3F03" w:rsidP="00FD0998">
      <w:pPr>
        <w:jc w:val="both"/>
        <w:rPr>
          <w:color w:val="000000" w:themeColor="text1"/>
        </w:rPr>
      </w:pPr>
      <w:r w:rsidRPr="0075252F">
        <w:rPr>
          <w:color w:val="000000" w:themeColor="text1"/>
        </w:rPr>
        <w:t xml:space="preserve">Subcutaneous </w:t>
      </w:r>
      <w:r w:rsidR="00D41774" w:rsidRPr="0075252F">
        <w:rPr>
          <w:color w:val="000000" w:themeColor="text1"/>
        </w:rPr>
        <w:t>IRS2</w:t>
      </w:r>
      <w:r w:rsidR="00D94706" w:rsidRPr="0075252F">
        <w:rPr>
          <w:color w:val="000000" w:themeColor="text1"/>
        </w:rPr>
        <w:t xml:space="preserve"> (Hs00275843_s1)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3A199DA6" w14:textId="4CA2873F" w:rsidR="003B62FB" w:rsidRPr="0075252F" w:rsidRDefault="00914061" w:rsidP="00FD0998">
      <w:pPr>
        <w:jc w:val="both"/>
        <w:rPr>
          <w:color w:val="000000" w:themeColor="text1"/>
        </w:rPr>
      </w:pPr>
      <w:r w:rsidRPr="0075252F">
        <w:rPr>
          <w:color w:val="000000" w:themeColor="text1"/>
        </w:rPr>
        <w:t>LEPTIN (</w:t>
      </w:r>
      <w:r w:rsidR="003B62FB" w:rsidRPr="0075252F">
        <w:rPr>
          <w:color w:val="000000" w:themeColor="text1"/>
        </w:rPr>
        <w:t>LEP</w:t>
      </w:r>
      <w:r w:rsidRPr="0075252F">
        <w:rPr>
          <w:color w:val="000000" w:themeColor="text1"/>
        </w:rPr>
        <w:t>)</w:t>
      </w:r>
    </w:p>
    <w:p w14:paraId="75E8E4C8" w14:textId="7A62C31F"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LEP</w:t>
      </w:r>
      <w:r w:rsidR="001074E5" w:rsidRPr="0075252F">
        <w:rPr>
          <w:color w:val="000000" w:themeColor="text1"/>
        </w:rPr>
        <w:t xml:space="preserve"> (Hs00174877_m1)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339D7B2D" w14:textId="3B8B2FCF" w:rsidR="003B62FB" w:rsidRPr="0075252F" w:rsidRDefault="003B62FB" w:rsidP="00FD0998">
      <w:pPr>
        <w:jc w:val="both"/>
        <w:rPr>
          <w:color w:val="000000" w:themeColor="text1"/>
        </w:rPr>
      </w:pPr>
    </w:p>
    <w:p w14:paraId="65B5F675" w14:textId="4309DD50" w:rsidR="003B62FB" w:rsidRPr="0075252F" w:rsidRDefault="002820DA" w:rsidP="00FD0998">
      <w:pPr>
        <w:jc w:val="both"/>
        <w:rPr>
          <w:color w:val="000000" w:themeColor="text1"/>
        </w:rPr>
      </w:pPr>
      <w:r w:rsidRPr="0075252F">
        <w:rPr>
          <w:color w:val="000000" w:themeColor="text1"/>
        </w:rPr>
        <w:t xml:space="preserve">LIPASE E, HORMONE SENSITIVE TYPE </w:t>
      </w:r>
      <w:r w:rsidR="0056406C" w:rsidRPr="0075252F">
        <w:rPr>
          <w:color w:val="000000" w:themeColor="text1"/>
        </w:rPr>
        <w:t>(</w:t>
      </w:r>
      <w:r w:rsidR="003B62FB" w:rsidRPr="0075252F">
        <w:rPr>
          <w:color w:val="000000" w:themeColor="text1"/>
        </w:rPr>
        <w:t>LIPE</w:t>
      </w:r>
      <w:r w:rsidR="0056406C" w:rsidRPr="0075252F">
        <w:rPr>
          <w:color w:val="000000" w:themeColor="text1"/>
        </w:rPr>
        <w:t xml:space="preserve">)  </w:t>
      </w:r>
    </w:p>
    <w:p w14:paraId="029DBD81" w14:textId="7C5C7DEE"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 xml:space="preserve">LIPE </w:t>
      </w:r>
      <w:r w:rsidR="00D07D97" w:rsidRPr="0075252F">
        <w:rPr>
          <w:color w:val="000000" w:themeColor="text1"/>
        </w:rPr>
        <w:t>(Hs00193510_m10)</w:t>
      </w:r>
      <w:r w:rsidR="006B45A3"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043A1457" w14:textId="432AF8B0" w:rsidR="003B62FB" w:rsidRPr="0075252F" w:rsidRDefault="003B62FB" w:rsidP="00FD0998">
      <w:pPr>
        <w:jc w:val="both"/>
        <w:rPr>
          <w:color w:val="000000" w:themeColor="text1"/>
        </w:rPr>
      </w:pPr>
    </w:p>
    <w:p w14:paraId="2918A328" w14:textId="77777777" w:rsidR="00AC0E78" w:rsidRDefault="00AC0E78" w:rsidP="00FD0998">
      <w:pPr>
        <w:jc w:val="both"/>
        <w:rPr>
          <w:color w:val="000000" w:themeColor="text1"/>
          <w:shd w:val="clear" w:color="auto" w:fill="FFFFFF"/>
        </w:rPr>
      </w:pPr>
    </w:p>
    <w:p w14:paraId="629362C9" w14:textId="7FD1A7A0" w:rsidR="003B62FB" w:rsidRPr="0075252F" w:rsidRDefault="00DA341A" w:rsidP="00FD0998">
      <w:pPr>
        <w:jc w:val="both"/>
        <w:rPr>
          <w:color w:val="000000" w:themeColor="text1"/>
        </w:rPr>
      </w:pPr>
      <w:r w:rsidRPr="0075252F">
        <w:rPr>
          <w:color w:val="000000" w:themeColor="text1"/>
          <w:shd w:val="clear" w:color="auto" w:fill="FFFFFF"/>
        </w:rPr>
        <w:lastRenderedPageBreak/>
        <w:t>LIPOPROTEIN LIPASE</w:t>
      </w:r>
      <w:r w:rsidRPr="0075252F">
        <w:rPr>
          <w:rFonts w:ascii="Arial" w:hAnsi="Arial" w:cs="Arial"/>
          <w:color w:val="000000" w:themeColor="text1"/>
          <w:shd w:val="clear" w:color="auto" w:fill="FFFFFF"/>
        </w:rPr>
        <w:t xml:space="preserve"> </w:t>
      </w:r>
      <w:r w:rsidR="0044486E" w:rsidRPr="0075252F">
        <w:rPr>
          <w:rFonts w:ascii="Arial" w:hAnsi="Arial" w:cs="Arial"/>
          <w:color w:val="000000" w:themeColor="text1"/>
          <w:shd w:val="clear" w:color="auto" w:fill="FFFFFF"/>
        </w:rPr>
        <w:t>(L</w:t>
      </w:r>
      <w:r w:rsidR="003B62FB" w:rsidRPr="0075252F">
        <w:rPr>
          <w:color w:val="000000" w:themeColor="text1"/>
        </w:rPr>
        <w:t>PL</w:t>
      </w:r>
      <w:r w:rsidRPr="0075252F">
        <w:rPr>
          <w:color w:val="000000" w:themeColor="text1"/>
        </w:rPr>
        <w:t>)</w:t>
      </w:r>
    </w:p>
    <w:p w14:paraId="787BA041" w14:textId="20686B07"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LPL</w:t>
      </w:r>
      <w:r w:rsidR="005C02C8" w:rsidRPr="0075252F">
        <w:rPr>
          <w:color w:val="000000" w:themeColor="text1"/>
        </w:rPr>
        <w:t xml:space="preserve"> (Hs01012571_m1)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EBC2200" w14:textId="32712EBC" w:rsidR="003B62FB" w:rsidRPr="0075252F" w:rsidRDefault="003B62FB" w:rsidP="00FD0998">
      <w:pPr>
        <w:jc w:val="both"/>
        <w:rPr>
          <w:color w:val="000000" w:themeColor="text1"/>
        </w:rPr>
      </w:pPr>
    </w:p>
    <w:p w14:paraId="3B1ABD99" w14:textId="3ED96855" w:rsidR="003B62FB" w:rsidRPr="0075252F" w:rsidRDefault="00B93064" w:rsidP="00FD0998">
      <w:pPr>
        <w:jc w:val="both"/>
        <w:rPr>
          <w:color w:val="000000" w:themeColor="text1"/>
        </w:rPr>
      </w:pPr>
      <w:r w:rsidRPr="0075252F">
        <w:rPr>
          <w:color w:val="000000" w:themeColor="text1"/>
        </w:rPr>
        <w:t>MLX-INTERACTING PROTEIN-LIKE (</w:t>
      </w:r>
      <w:r w:rsidR="003B62FB" w:rsidRPr="0075252F">
        <w:rPr>
          <w:color w:val="000000" w:themeColor="text1"/>
        </w:rPr>
        <w:t>MLXIPL</w:t>
      </w:r>
      <w:r w:rsidRPr="0075252F">
        <w:rPr>
          <w:color w:val="000000" w:themeColor="text1"/>
        </w:rPr>
        <w:t>)</w:t>
      </w:r>
    </w:p>
    <w:p w14:paraId="39BFC5C4" w14:textId="6DE5E638"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MLXIPL</w:t>
      </w:r>
      <w:r w:rsidR="00456D20" w:rsidRPr="0075252F">
        <w:rPr>
          <w:color w:val="000000" w:themeColor="text1"/>
        </w:rPr>
        <w:t xml:space="preserve"> (Hs00263027_m1)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1ED96C8" w14:textId="42BE798E" w:rsidR="003B62FB" w:rsidRPr="0075252F" w:rsidRDefault="003B62FB" w:rsidP="00FD0998">
      <w:pPr>
        <w:jc w:val="both"/>
        <w:rPr>
          <w:color w:val="000000" w:themeColor="text1"/>
        </w:rPr>
      </w:pPr>
    </w:p>
    <w:p w14:paraId="204A2304" w14:textId="7AB8CAAE" w:rsidR="003B62FB" w:rsidRPr="0075252F" w:rsidRDefault="002824BB" w:rsidP="00FD0998">
      <w:pPr>
        <w:jc w:val="both"/>
        <w:rPr>
          <w:color w:val="000000" w:themeColor="text1"/>
        </w:rPr>
      </w:pPr>
      <w:r w:rsidRPr="0075252F">
        <w:rPr>
          <w:color w:val="000000" w:themeColor="text1"/>
        </w:rPr>
        <w:t>NICOTINAMIDE PHOSPHORIBOSYL TRANSFERASE (</w:t>
      </w:r>
      <w:r w:rsidR="003B62FB" w:rsidRPr="0075252F">
        <w:rPr>
          <w:color w:val="000000" w:themeColor="text1"/>
        </w:rPr>
        <w:t>NAMP</w:t>
      </w:r>
      <w:r w:rsidR="005838D9" w:rsidRPr="0075252F">
        <w:rPr>
          <w:color w:val="000000" w:themeColor="text1"/>
        </w:rPr>
        <w:t>T</w:t>
      </w:r>
      <w:r w:rsidRPr="0075252F">
        <w:rPr>
          <w:color w:val="000000" w:themeColor="text1"/>
        </w:rPr>
        <w:t>)</w:t>
      </w:r>
    </w:p>
    <w:p w14:paraId="0D12CD31" w14:textId="5A696764"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NAMPT</w:t>
      </w:r>
      <w:r w:rsidR="001B5050" w:rsidRPr="0075252F">
        <w:rPr>
          <w:color w:val="000000" w:themeColor="text1"/>
        </w:rPr>
        <w:t xml:space="preserve"> (Hs00237184_m1)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29A9013" w14:textId="4E95D269" w:rsidR="005838D9" w:rsidRPr="0075252F" w:rsidRDefault="005838D9" w:rsidP="00FD0998">
      <w:pPr>
        <w:jc w:val="both"/>
        <w:rPr>
          <w:color w:val="000000" w:themeColor="text1"/>
        </w:rPr>
      </w:pPr>
    </w:p>
    <w:p w14:paraId="64B5F81C" w14:textId="1257457C" w:rsidR="005838D9" w:rsidRPr="0075252F" w:rsidRDefault="008A18C0" w:rsidP="00FD0998">
      <w:pPr>
        <w:jc w:val="both"/>
        <w:rPr>
          <w:color w:val="000000" w:themeColor="text1"/>
        </w:rPr>
      </w:pPr>
      <w:r w:rsidRPr="0075252F">
        <w:rPr>
          <w:color w:val="000000" w:themeColor="text1"/>
        </w:rPr>
        <w:t>NEURONAL PAS DOMAIN PROTEIN 2 (</w:t>
      </w:r>
      <w:r w:rsidR="005838D9" w:rsidRPr="0075252F">
        <w:rPr>
          <w:color w:val="000000" w:themeColor="text1"/>
        </w:rPr>
        <w:t>NPAS2</w:t>
      </w:r>
      <w:r w:rsidRPr="0075252F">
        <w:rPr>
          <w:color w:val="000000" w:themeColor="text1"/>
        </w:rPr>
        <w:t>)</w:t>
      </w:r>
    </w:p>
    <w:p w14:paraId="2556943D" w14:textId="25A81A6C"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NPAS2</w:t>
      </w:r>
      <w:r w:rsidR="00DC2A9A" w:rsidRPr="0075252F">
        <w:rPr>
          <w:color w:val="000000" w:themeColor="text1"/>
        </w:rPr>
        <w:t xml:space="preserve"> (Hs00231212_m1)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593BC8E" w14:textId="3FB59583" w:rsidR="005838D9" w:rsidRPr="0075252F" w:rsidRDefault="005838D9" w:rsidP="00FD0998">
      <w:pPr>
        <w:jc w:val="both"/>
        <w:rPr>
          <w:color w:val="000000" w:themeColor="text1"/>
        </w:rPr>
      </w:pPr>
    </w:p>
    <w:p w14:paraId="34359B3B" w14:textId="1C8B0838" w:rsidR="005838D9" w:rsidRPr="0075252F" w:rsidRDefault="005441E6" w:rsidP="00FD0998">
      <w:pPr>
        <w:jc w:val="both"/>
        <w:rPr>
          <w:color w:val="000000" w:themeColor="text1"/>
        </w:rPr>
      </w:pPr>
      <w:r w:rsidRPr="0075252F">
        <w:rPr>
          <w:color w:val="000000" w:themeColor="text1"/>
        </w:rPr>
        <w:t>POLY [ADP-RIBOSE] POLYMERASE 1 (</w:t>
      </w:r>
      <w:r w:rsidR="005838D9" w:rsidRPr="0075252F">
        <w:rPr>
          <w:color w:val="000000" w:themeColor="text1"/>
        </w:rPr>
        <w:t>PARP1</w:t>
      </w:r>
      <w:r w:rsidRPr="0075252F">
        <w:rPr>
          <w:color w:val="000000" w:themeColor="text1"/>
        </w:rPr>
        <w:t>)</w:t>
      </w:r>
    </w:p>
    <w:p w14:paraId="0581ADEC" w14:textId="4D043723"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PARP1</w:t>
      </w:r>
      <w:r w:rsidR="00B75F52" w:rsidRPr="0075252F">
        <w:rPr>
          <w:color w:val="000000" w:themeColor="text1"/>
        </w:rPr>
        <w:t xml:space="preserve"> (Hs00242302_m1)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51A6E566" w14:textId="0ABB6CA0" w:rsidR="005838D9" w:rsidRPr="0075252F" w:rsidRDefault="005838D9" w:rsidP="00FD0998">
      <w:pPr>
        <w:jc w:val="both"/>
        <w:rPr>
          <w:color w:val="000000" w:themeColor="text1"/>
        </w:rPr>
      </w:pPr>
    </w:p>
    <w:p w14:paraId="5342DF2F" w14:textId="509855C8" w:rsidR="005838D9" w:rsidRPr="0075252F" w:rsidRDefault="002601A1" w:rsidP="00FD0998">
      <w:pPr>
        <w:jc w:val="both"/>
        <w:rPr>
          <w:color w:val="000000" w:themeColor="text1"/>
        </w:rPr>
      </w:pPr>
      <w:r w:rsidRPr="0075252F">
        <w:rPr>
          <w:color w:val="000000" w:themeColor="text1"/>
        </w:rPr>
        <w:t>PYRUVATE DEHYDROGENASE KINASE 4 (</w:t>
      </w:r>
      <w:r w:rsidR="005838D9" w:rsidRPr="0075252F">
        <w:rPr>
          <w:color w:val="000000" w:themeColor="text1"/>
        </w:rPr>
        <w:t>PDK4</w:t>
      </w:r>
      <w:r w:rsidRPr="0075252F">
        <w:rPr>
          <w:color w:val="000000" w:themeColor="text1"/>
        </w:rPr>
        <w:t>)</w:t>
      </w:r>
    </w:p>
    <w:p w14:paraId="5AF9EE54" w14:textId="67AC5151"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PDK4</w:t>
      </w:r>
      <w:r w:rsidR="00F9042D" w:rsidRPr="0075252F">
        <w:rPr>
          <w:color w:val="000000" w:themeColor="text1"/>
        </w:rPr>
        <w:t xml:space="preserve"> (Hs01037712_m1)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6BE6A2D0" w14:textId="0A00F8BB" w:rsidR="005838D9" w:rsidRPr="0075252F" w:rsidRDefault="005838D9" w:rsidP="00FD0998">
      <w:pPr>
        <w:jc w:val="both"/>
        <w:rPr>
          <w:color w:val="000000" w:themeColor="text1"/>
        </w:rPr>
      </w:pPr>
    </w:p>
    <w:p w14:paraId="6252D873" w14:textId="2541CE9B" w:rsidR="005838D9" w:rsidRPr="0075252F" w:rsidRDefault="009C687C" w:rsidP="00FD0998">
      <w:pPr>
        <w:jc w:val="both"/>
        <w:rPr>
          <w:color w:val="000000" w:themeColor="text1"/>
        </w:rPr>
      </w:pPr>
      <w:r w:rsidRPr="0075252F">
        <w:rPr>
          <w:color w:val="000000" w:themeColor="text1"/>
        </w:rPr>
        <w:t>PERIOD CIRCADIAN REGULATOR 1 (</w:t>
      </w:r>
      <w:r w:rsidR="005838D9" w:rsidRPr="0075252F">
        <w:rPr>
          <w:color w:val="000000" w:themeColor="text1"/>
        </w:rPr>
        <w:t>PER1</w:t>
      </w:r>
      <w:r w:rsidRPr="0075252F">
        <w:rPr>
          <w:color w:val="000000" w:themeColor="text1"/>
        </w:rPr>
        <w:t>)</w:t>
      </w:r>
    </w:p>
    <w:p w14:paraId="4139042D" w14:textId="74C526CE" w:rsidR="00ED3F03" w:rsidRPr="0075252F" w:rsidRDefault="00ED3F03" w:rsidP="00ED3F03">
      <w:pPr>
        <w:jc w:val="both"/>
        <w:rPr>
          <w:color w:val="000000" w:themeColor="text1"/>
        </w:rPr>
      </w:pPr>
      <w:r w:rsidRPr="0075252F">
        <w:rPr>
          <w:color w:val="000000" w:themeColor="text1"/>
        </w:rPr>
        <w:t xml:space="preserve">Subcutaneous </w:t>
      </w:r>
      <w:r w:rsidR="00D41774" w:rsidRPr="0075252F">
        <w:rPr>
          <w:color w:val="000000" w:themeColor="text1"/>
        </w:rPr>
        <w:t>PER1</w:t>
      </w:r>
      <w:r w:rsidR="00C9177F" w:rsidRPr="0075252F">
        <w:rPr>
          <w:color w:val="000000" w:themeColor="text1"/>
        </w:rPr>
        <w:t xml:space="preserve"> (Hs00242988_m1)</w:t>
      </w:r>
      <w:r w:rsidR="00D41774"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23F039CF" w14:textId="77777777" w:rsidR="00ED3F03" w:rsidRPr="0075252F" w:rsidRDefault="00ED3F03" w:rsidP="00FD0998">
      <w:pPr>
        <w:jc w:val="both"/>
        <w:rPr>
          <w:color w:val="000000" w:themeColor="text1"/>
        </w:rPr>
      </w:pPr>
    </w:p>
    <w:p w14:paraId="28B01F32" w14:textId="7D45AA67" w:rsidR="005838D9" w:rsidRPr="0075252F" w:rsidRDefault="000000ED" w:rsidP="00FD0998">
      <w:pPr>
        <w:jc w:val="both"/>
        <w:rPr>
          <w:color w:val="000000" w:themeColor="text1"/>
        </w:rPr>
      </w:pPr>
      <w:r w:rsidRPr="0075252F">
        <w:rPr>
          <w:color w:val="000000" w:themeColor="text1"/>
        </w:rPr>
        <w:t>PHOSPHATIDYLINOSITOL 3-KINASE REGULATORY SUBUNIT ALPHA (</w:t>
      </w:r>
      <w:r w:rsidR="00DB454F" w:rsidRPr="0075252F">
        <w:rPr>
          <w:color w:val="000000" w:themeColor="text1"/>
        </w:rPr>
        <w:t>PIK3R1</w:t>
      </w:r>
      <w:r w:rsidRPr="0075252F">
        <w:rPr>
          <w:color w:val="000000" w:themeColor="text1"/>
        </w:rPr>
        <w:t>)</w:t>
      </w:r>
    </w:p>
    <w:p w14:paraId="1365D0DB" w14:textId="149A11E4" w:rsidR="00ED3F03" w:rsidRPr="0075252F" w:rsidRDefault="00ED3F03" w:rsidP="00FD0998">
      <w:pPr>
        <w:jc w:val="both"/>
        <w:rPr>
          <w:color w:val="000000" w:themeColor="text1"/>
        </w:rPr>
      </w:pPr>
      <w:r w:rsidRPr="0075252F">
        <w:rPr>
          <w:color w:val="000000" w:themeColor="text1"/>
        </w:rPr>
        <w:t xml:space="preserve">Subcutaneous </w:t>
      </w:r>
      <w:r w:rsidR="00D41774" w:rsidRPr="0075252F">
        <w:rPr>
          <w:color w:val="000000" w:themeColor="text1"/>
        </w:rPr>
        <w:t>PIK</w:t>
      </w:r>
      <w:r w:rsidR="00B50F2A" w:rsidRPr="0075252F">
        <w:rPr>
          <w:color w:val="000000" w:themeColor="text1"/>
        </w:rPr>
        <w:t>3R1</w:t>
      </w:r>
      <w:r w:rsidR="003C3D01" w:rsidRPr="0075252F">
        <w:rPr>
          <w:color w:val="000000" w:themeColor="text1"/>
        </w:rPr>
        <w:t xml:space="preserve"> (Hs00381459_m1)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99F336C" w14:textId="6B84A174" w:rsidR="00DB454F" w:rsidRPr="0075252F" w:rsidRDefault="00DB454F" w:rsidP="00FD0998">
      <w:pPr>
        <w:jc w:val="both"/>
        <w:rPr>
          <w:color w:val="000000" w:themeColor="text1"/>
        </w:rPr>
      </w:pPr>
    </w:p>
    <w:p w14:paraId="5A32DCA5" w14:textId="2C3872BE" w:rsidR="00DB454F" w:rsidRPr="0075252F" w:rsidRDefault="0021725E" w:rsidP="00FD0998">
      <w:pPr>
        <w:jc w:val="both"/>
        <w:rPr>
          <w:color w:val="000000" w:themeColor="text1"/>
        </w:rPr>
      </w:pPr>
      <w:r w:rsidRPr="0075252F">
        <w:rPr>
          <w:color w:val="000000" w:themeColor="text1"/>
        </w:rPr>
        <w:t>PERILIPIN 2 (</w:t>
      </w:r>
      <w:r w:rsidR="00DB454F" w:rsidRPr="0075252F">
        <w:rPr>
          <w:color w:val="000000" w:themeColor="text1"/>
        </w:rPr>
        <w:t>PLIN2</w:t>
      </w:r>
      <w:r w:rsidRPr="0075252F">
        <w:rPr>
          <w:color w:val="000000" w:themeColor="text1"/>
        </w:rPr>
        <w:t>)</w:t>
      </w:r>
    </w:p>
    <w:p w14:paraId="7C8DBC52" w14:textId="5115B647"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PLIN2</w:t>
      </w:r>
      <w:r w:rsidR="00944D19" w:rsidRPr="0075252F">
        <w:rPr>
          <w:color w:val="000000" w:themeColor="text1"/>
        </w:rPr>
        <w:t xml:space="preserve"> (Hs00605340_m1)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312AC549" w14:textId="50DF5CDB" w:rsidR="00DB454F" w:rsidRPr="0075252F" w:rsidRDefault="00DB454F" w:rsidP="00FD0998">
      <w:pPr>
        <w:jc w:val="both"/>
        <w:rPr>
          <w:color w:val="000000" w:themeColor="text1"/>
        </w:rPr>
      </w:pPr>
    </w:p>
    <w:p w14:paraId="4BF520BD" w14:textId="77777777" w:rsidR="00AC0E78" w:rsidRDefault="00AC0E78" w:rsidP="00FD0998">
      <w:pPr>
        <w:jc w:val="both"/>
        <w:rPr>
          <w:color w:val="000000" w:themeColor="text1"/>
        </w:rPr>
      </w:pPr>
    </w:p>
    <w:p w14:paraId="23FA2782" w14:textId="3137FD17" w:rsidR="00DB454F" w:rsidRPr="0075252F" w:rsidRDefault="00CC704B" w:rsidP="00FD0998">
      <w:pPr>
        <w:jc w:val="both"/>
        <w:rPr>
          <w:color w:val="000000" w:themeColor="text1"/>
        </w:rPr>
      </w:pPr>
      <w:r w:rsidRPr="0075252F">
        <w:rPr>
          <w:color w:val="000000" w:themeColor="text1"/>
        </w:rPr>
        <w:lastRenderedPageBreak/>
        <w:t>PATATIN LIKE PHOSPHOLIPASE DOMAIN CONTAINING 2 (</w:t>
      </w:r>
      <w:r w:rsidR="00DB454F" w:rsidRPr="0075252F">
        <w:rPr>
          <w:color w:val="000000" w:themeColor="text1"/>
        </w:rPr>
        <w:t>PNPLA2</w:t>
      </w:r>
      <w:r w:rsidRPr="0075252F">
        <w:rPr>
          <w:color w:val="000000" w:themeColor="text1"/>
        </w:rPr>
        <w:t>)</w:t>
      </w:r>
    </w:p>
    <w:p w14:paraId="647E879A" w14:textId="0C247FC7" w:rsidR="00ED3F03" w:rsidRPr="0075252F" w:rsidRDefault="00ED3F03" w:rsidP="00ED3F03">
      <w:pPr>
        <w:jc w:val="both"/>
        <w:rPr>
          <w:color w:val="000000" w:themeColor="text1"/>
        </w:rPr>
      </w:pPr>
      <w:r w:rsidRPr="0075252F">
        <w:rPr>
          <w:color w:val="000000" w:themeColor="text1"/>
        </w:rPr>
        <w:t>Subcutaneous</w:t>
      </w:r>
      <w:r w:rsidR="00B50F2A" w:rsidRPr="0075252F">
        <w:rPr>
          <w:color w:val="000000" w:themeColor="text1"/>
        </w:rPr>
        <w:t xml:space="preserve"> PNPLA2</w:t>
      </w:r>
      <w:r w:rsidR="00B72865" w:rsidRPr="0075252F">
        <w:rPr>
          <w:color w:val="000000" w:themeColor="text1"/>
        </w:rPr>
        <w:t xml:space="preserve"> (Hs00386101_m1)</w:t>
      </w:r>
      <w:r w:rsidRPr="0075252F">
        <w:rPr>
          <w:color w:val="000000" w:themeColor="text1"/>
        </w:rPr>
        <w:t xml:space="preserve"> were assayed using Applied Biosystems, run on a real-time PCR system (7900HT, Applied Biosystems). Subcutaneous adipose tissue biopsies were not available for 18 participants. </w:t>
      </w:r>
    </w:p>
    <w:p w14:paraId="048C8A1C" w14:textId="1E9B0BB2" w:rsidR="00DB454F" w:rsidRPr="0075252F" w:rsidRDefault="00DB454F" w:rsidP="00FD0998">
      <w:pPr>
        <w:jc w:val="both"/>
        <w:rPr>
          <w:color w:val="000000" w:themeColor="text1"/>
        </w:rPr>
      </w:pPr>
    </w:p>
    <w:p w14:paraId="3D1C75FE" w14:textId="026A4A58" w:rsidR="00DB454F" w:rsidRPr="0075252F" w:rsidRDefault="006E1010" w:rsidP="00FD0998">
      <w:pPr>
        <w:jc w:val="both"/>
        <w:rPr>
          <w:color w:val="000000" w:themeColor="text1"/>
        </w:rPr>
      </w:pPr>
      <w:r w:rsidRPr="0075252F">
        <w:rPr>
          <w:color w:val="000000" w:themeColor="text1"/>
        </w:rPr>
        <w:t>PATATIN LIKE PHOSPHOLIPASE DOMAIN CONTAINING 3 (</w:t>
      </w:r>
      <w:r w:rsidR="00DB454F" w:rsidRPr="0075252F">
        <w:rPr>
          <w:color w:val="000000" w:themeColor="text1"/>
        </w:rPr>
        <w:t>PNPLA3</w:t>
      </w:r>
      <w:r w:rsidRPr="0075252F">
        <w:rPr>
          <w:color w:val="000000" w:themeColor="text1"/>
        </w:rPr>
        <w:t>)</w:t>
      </w:r>
    </w:p>
    <w:p w14:paraId="7EB5852E" w14:textId="2AEA745C" w:rsidR="009365DA" w:rsidRPr="0075252F" w:rsidRDefault="00ED3F03" w:rsidP="00FD0998">
      <w:pPr>
        <w:jc w:val="both"/>
        <w:rPr>
          <w:color w:val="000000" w:themeColor="text1"/>
        </w:rPr>
      </w:pPr>
      <w:r w:rsidRPr="0075252F">
        <w:rPr>
          <w:color w:val="000000" w:themeColor="text1"/>
        </w:rPr>
        <w:t xml:space="preserve">Subcutaneous </w:t>
      </w:r>
      <w:r w:rsidR="00B50F2A" w:rsidRPr="0075252F">
        <w:rPr>
          <w:color w:val="000000" w:themeColor="text1"/>
        </w:rPr>
        <w:t xml:space="preserve">PNPLA3 </w:t>
      </w:r>
      <w:r w:rsidR="00584884" w:rsidRPr="0075252F">
        <w:rPr>
          <w:color w:val="000000" w:themeColor="text1"/>
        </w:rPr>
        <w:t xml:space="preserve">(Hs00228747_m1)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36FEF94" w14:textId="77777777" w:rsidR="006A1681" w:rsidRPr="0075252F" w:rsidRDefault="006A1681" w:rsidP="00FD0998">
      <w:pPr>
        <w:jc w:val="both"/>
        <w:rPr>
          <w:color w:val="000000" w:themeColor="text1"/>
        </w:rPr>
      </w:pPr>
    </w:p>
    <w:p w14:paraId="5A528DA5" w14:textId="2966AB77" w:rsidR="006A1681" w:rsidRPr="0075252F" w:rsidRDefault="009815CB" w:rsidP="00FD0998">
      <w:pPr>
        <w:jc w:val="both"/>
        <w:rPr>
          <w:color w:val="000000" w:themeColor="text1"/>
        </w:rPr>
      </w:pPr>
      <w:r w:rsidRPr="0075252F">
        <w:rPr>
          <w:color w:val="000000" w:themeColor="text1"/>
        </w:rPr>
        <w:t>PEROXISOME PROLIFERATOR ACTIVATED RECEPTOR GAMMA (</w:t>
      </w:r>
      <w:r w:rsidR="00863963" w:rsidRPr="0075252F">
        <w:rPr>
          <w:color w:val="000000" w:themeColor="text1"/>
        </w:rPr>
        <w:t>PPARG</w:t>
      </w:r>
      <w:r w:rsidRPr="0075252F">
        <w:rPr>
          <w:color w:val="000000" w:themeColor="text1"/>
        </w:rPr>
        <w:t>)</w:t>
      </w:r>
    </w:p>
    <w:p w14:paraId="0746027D" w14:textId="5CF355BC"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PPARG</w:t>
      </w:r>
      <w:r w:rsidR="000F2019" w:rsidRPr="0075252F">
        <w:rPr>
          <w:color w:val="000000" w:themeColor="text1"/>
        </w:rPr>
        <w:t xml:space="preserve"> (Hs01115513_m1)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07D03FFC" w14:textId="5B33633D" w:rsidR="00863963" w:rsidRPr="0075252F" w:rsidRDefault="00863963" w:rsidP="00FD0998">
      <w:pPr>
        <w:jc w:val="both"/>
        <w:rPr>
          <w:color w:val="000000" w:themeColor="text1"/>
        </w:rPr>
      </w:pPr>
    </w:p>
    <w:p w14:paraId="5D72F9F1" w14:textId="120A0F2A" w:rsidR="00863963" w:rsidRPr="0075252F" w:rsidRDefault="00FA52B8" w:rsidP="00FD0998">
      <w:pPr>
        <w:jc w:val="both"/>
        <w:rPr>
          <w:color w:val="000000" w:themeColor="text1"/>
        </w:rPr>
      </w:pPr>
      <w:r w:rsidRPr="0075252F">
        <w:rPr>
          <w:color w:val="000000" w:themeColor="text1"/>
        </w:rPr>
        <w:t>PPARG COACTIVATOR 1 ALPHA (</w:t>
      </w:r>
      <w:r w:rsidR="00863963" w:rsidRPr="0075252F">
        <w:rPr>
          <w:color w:val="000000" w:themeColor="text1"/>
        </w:rPr>
        <w:t>PPARGC1A</w:t>
      </w:r>
      <w:r w:rsidRPr="0075252F">
        <w:rPr>
          <w:color w:val="000000" w:themeColor="text1"/>
        </w:rPr>
        <w:t>)</w:t>
      </w:r>
    </w:p>
    <w:p w14:paraId="23DA334E" w14:textId="0939E3AF"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PPARGC1A</w:t>
      </w:r>
      <w:r w:rsidR="00C14B25" w:rsidRPr="0075252F">
        <w:rPr>
          <w:color w:val="000000" w:themeColor="text1"/>
        </w:rPr>
        <w:t xml:space="preserve"> (Hs00173304_m1)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61CA49AB" w14:textId="2879197D" w:rsidR="00863963" w:rsidRPr="0075252F" w:rsidRDefault="00863963" w:rsidP="00FD0998">
      <w:pPr>
        <w:jc w:val="both"/>
        <w:rPr>
          <w:color w:val="000000" w:themeColor="text1"/>
        </w:rPr>
      </w:pPr>
    </w:p>
    <w:p w14:paraId="48D38742" w14:textId="72851E86" w:rsidR="00863963" w:rsidRPr="0075252F" w:rsidRDefault="003D5D62" w:rsidP="00FD0998">
      <w:pPr>
        <w:jc w:val="both"/>
        <w:rPr>
          <w:color w:val="000000" w:themeColor="text1"/>
        </w:rPr>
      </w:pPr>
      <w:r w:rsidRPr="0075252F">
        <w:rPr>
          <w:color w:val="000000" w:themeColor="text1"/>
        </w:rPr>
        <w:t>PROTEIN KINASE AMP-ACTIVATED CATALYTIC SUBUNIT ALPHA 1 (</w:t>
      </w:r>
      <w:r w:rsidR="00863963" w:rsidRPr="0075252F">
        <w:rPr>
          <w:color w:val="000000" w:themeColor="text1"/>
        </w:rPr>
        <w:t>PRKAA1</w:t>
      </w:r>
      <w:r w:rsidRPr="0075252F">
        <w:rPr>
          <w:color w:val="000000" w:themeColor="text1"/>
        </w:rPr>
        <w:t>)</w:t>
      </w:r>
    </w:p>
    <w:p w14:paraId="04EEEC2A" w14:textId="74C54280"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PRKAA1</w:t>
      </w:r>
      <w:r w:rsidR="00D718DC" w:rsidRPr="0075252F">
        <w:rPr>
          <w:color w:val="000000" w:themeColor="text1"/>
        </w:rPr>
        <w:t xml:space="preserve"> (Hs01562315_m1)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6902890C" w14:textId="215076BE" w:rsidR="00863963" w:rsidRPr="0075252F" w:rsidRDefault="00863963" w:rsidP="00FD0998">
      <w:pPr>
        <w:jc w:val="both"/>
        <w:rPr>
          <w:color w:val="000000" w:themeColor="text1"/>
        </w:rPr>
      </w:pPr>
    </w:p>
    <w:p w14:paraId="26E80CC0" w14:textId="24BF8683" w:rsidR="00863963" w:rsidRPr="0075252F" w:rsidRDefault="00A075E2" w:rsidP="00FD0998">
      <w:pPr>
        <w:jc w:val="both"/>
        <w:rPr>
          <w:color w:val="000000" w:themeColor="text1"/>
        </w:rPr>
      </w:pPr>
      <w:r w:rsidRPr="0075252F">
        <w:rPr>
          <w:color w:val="000000" w:themeColor="text1"/>
        </w:rPr>
        <w:t>PROTEIN KINASE AMP-ACTIVATED CATALYTIC SUBUNIT ALPHA 2 (PRKAA2)</w:t>
      </w:r>
    </w:p>
    <w:p w14:paraId="5CE6BCE8" w14:textId="4AADADF7"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 xml:space="preserve">PRKAA2 </w:t>
      </w:r>
      <w:r w:rsidR="00D3749F" w:rsidRPr="0075252F">
        <w:rPr>
          <w:color w:val="000000" w:themeColor="text1"/>
        </w:rPr>
        <w:t xml:space="preserve">(Hs00178903_m1)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40C64BCD" w14:textId="1256C8A0" w:rsidR="00863963" w:rsidRPr="0075252F" w:rsidRDefault="00863963" w:rsidP="00FD0998">
      <w:pPr>
        <w:jc w:val="both"/>
        <w:rPr>
          <w:color w:val="000000" w:themeColor="text1"/>
        </w:rPr>
      </w:pPr>
    </w:p>
    <w:p w14:paraId="265B4ABD" w14:textId="0D2A5E8C" w:rsidR="00863963" w:rsidRPr="0075252F" w:rsidRDefault="003D56A3" w:rsidP="00FD0998">
      <w:pPr>
        <w:jc w:val="both"/>
        <w:rPr>
          <w:color w:val="000000" w:themeColor="text1"/>
        </w:rPr>
      </w:pPr>
      <w:r w:rsidRPr="0075252F">
        <w:rPr>
          <w:color w:val="000000" w:themeColor="text1"/>
        </w:rPr>
        <w:t>SIRTUIN-1 (</w:t>
      </w:r>
      <w:r w:rsidR="00863963" w:rsidRPr="0075252F">
        <w:rPr>
          <w:color w:val="000000" w:themeColor="text1"/>
        </w:rPr>
        <w:t>SIRT1</w:t>
      </w:r>
      <w:r w:rsidRPr="0075252F">
        <w:rPr>
          <w:color w:val="000000" w:themeColor="text1"/>
        </w:rPr>
        <w:t>)</w:t>
      </w:r>
    </w:p>
    <w:p w14:paraId="1AE9EC39" w14:textId="3EE5E01D"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SIRT1</w:t>
      </w:r>
      <w:r w:rsidR="00730B75" w:rsidRPr="0075252F">
        <w:rPr>
          <w:color w:val="000000" w:themeColor="text1"/>
        </w:rPr>
        <w:t xml:space="preserve"> (Hs01009006_m1)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012AD728" w14:textId="77777777" w:rsidR="00ED3F03" w:rsidRPr="0075252F" w:rsidRDefault="00ED3F03" w:rsidP="00FD0998">
      <w:pPr>
        <w:jc w:val="both"/>
        <w:rPr>
          <w:color w:val="000000" w:themeColor="text1"/>
        </w:rPr>
      </w:pPr>
    </w:p>
    <w:p w14:paraId="7F29BFEF" w14:textId="0F5ACE3A" w:rsidR="00863963" w:rsidRPr="0075252F" w:rsidRDefault="00E02EEA" w:rsidP="00FD0998">
      <w:pPr>
        <w:jc w:val="both"/>
        <w:rPr>
          <w:color w:val="000000" w:themeColor="text1"/>
        </w:rPr>
      </w:pPr>
      <w:r w:rsidRPr="0075252F">
        <w:rPr>
          <w:color w:val="000000" w:themeColor="text1"/>
        </w:rPr>
        <w:t>SIRTUIN</w:t>
      </w:r>
      <w:r w:rsidR="00AC0E78">
        <w:rPr>
          <w:color w:val="000000" w:themeColor="text1"/>
        </w:rPr>
        <w:t>-</w:t>
      </w:r>
      <w:bookmarkStart w:id="0" w:name="_GoBack"/>
      <w:bookmarkEnd w:id="0"/>
      <w:r w:rsidRPr="0075252F">
        <w:rPr>
          <w:color w:val="000000" w:themeColor="text1"/>
        </w:rPr>
        <w:t>3 (</w:t>
      </w:r>
      <w:r w:rsidR="00863963" w:rsidRPr="0075252F">
        <w:rPr>
          <w:color w:val="000000" w:themeColor="text1"/>
        </w:rPr>
        <w:t>SIRT3</w:t>
      </w:r>
      <w:r w:rsidRPr="0075252F">
        <w:rPr>
          <w:color w:val="000000" w:themeColor="text1"/>
        </w:rPr>
        <w:t>)</w:t>
      </w:r>
    </w:p>
    <w:p w14:paraId="638CCBE2" w14:textId="464D5CD5"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SIRT3</w:t>
      </w:r>
      <w:r w:rsidR="00CC327D" w:rsidRPr="0075252F">
        <w:rPr>
          <w:color w:val="000000" w:themeColor="text1"/>
        </w:rPr>
        <w:t xml:space="preserve"> (Hs00953477_m1)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4A6951EB" w14:textId="45787C0A" w:rsidR="00863963" w:rsidRPr="0075252F" w:rsidRDefault="00863963" w:rsidP="00FD0998">
      <w:pPr>
        <w:jc w:val="both"/>
        <w:rPr>
          <w:color w:val="000000" w:themeColor="text1"/>
        </w:rPr>
      </w:pPr>
    </w:p>
    <w:p w14:paraId="3A3B530A" w14:textId="05E8FAD7" w:rsidR="00863963" w:rsidRPr="0075252F" w:rsidRDefault="007870C0" w:rsidP="00FD0998">
      <w:pPr>
        <w:jc w:val="both"/>
        <w:rPr>
          <w:color w:val="000000" w:themeColor="text1"/>
        </w:rPr>
      </w:pPr>
      <w:r w:rsidRPr="0075252F">
        <w:rPr>
          <w:color w:val="000000" w:themeColor="text1"/>
        </w:rPr>
        <w:t>SOLUTE CARRIER FAMILY 2 MEMBER 4 (</w:t>
      </w:r>
      <w:r w:rsidR="00863963" w:rsidRPr="0075252F">
        <w:rPr>
          <w:color w:val="000000" w:themeColor="text1"/>
        </w:rPr>
        <w:t>SLC2A4</w:t>
      </w:r>
      <w:r w:rsidRPr="0075252F">
        <w:rPr>
          <w:color w:val="000000" w:themeColor="text1"/>
        </w:rPr>
        <w:t>)</w:t>
      </w:r>
    </w:p>
    <w:p w14:paraId="2B767957" w14:textId="7DF161CD"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 xml:space="preserve">SLC2A4 </w:t>
      </w:r>
      <w:r w:rsidR="00705B26" w:rsidRPr="0075252F">
        <w:rPr>
          <w:color w:val="000000" w:themeColor="text1"/>
        </w:rPr>
        <w:t xml:space="preserve">(Hs00168966_m1)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8D681D0" w14:textId="783ED908" w:rsidR="00863963" w:rsidRPr="0075252F" w:rsidRDefault="00863963" w:rsidP="00FD0998">
      <w:pPr>
        <w:jc w:val="both"/>
        <w:rPr>
          <w:color w:val="000000" w:themeColor="text1"/>
        </w:rPr>
      </w:pPr>
    </w:p>
    <w:p w14:paraId="1E190B42" w14:textId="2D22B4FD" w:rsidR="00863963" w:rsidRPr="0075252F" w:rsidRDefault="00977C7A" w:rsidP="00FD0998">
      <w:pPr>
        <w:jc w:val="both"/>
        <w:rPr>
          <w:color w:val="000000" w:themeColor="text1"/>
        </w:rPr>
      </w:pPr>
      <w:r w:rsidRPr="0075252F">
        <w:rPr>
          <w:color w:val="000000" w:themeColor="text1"/>
        </w:rPr>
        <w:lastRenderedPageBreak/>
        <w:t>STEROL REGULATORY ELEMENT-BINDING TRANSCRIPTION FACTOR 1 (</w:t>
      </w:r>
      <w:r w:rsidR="00525463" w:rsidRPr="0075252F">
        <w:rPr>
          <w:color w:val="000000" w:themeColor="text1"/>
        </w:rPr>
        <w:t>SREBF1</w:t>
      </w:r>
      <w:r w:rsidRPr="0075252F">
        <w:rPr>
          <w:color w:val="000000" w:themeColor="text1"/>
        </w:rPr>
        <w:t>)</w:t>
      </w:r>
    </w:p>
    <w:p w14:paraId="7B19D48C" w14:textId="2A80A1D8"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SREBF1</w:t>
      </w:r>
      <w:r w:rsidR="00565388" w:rsidRPr="0075252F">
        <w:rPr>
          <w:color w:val="000000" w:themeColor="text1"/>
        </w:rPr>
        <w:t xml:space="preserve"> (Hs01088691_m1)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53F685CF" w14:textId="33782B65" w:rsidR="00525463" w:rsidRPr="0075252F" w:rsidRDefault="00525463" w:rsidP="00FD0998">
      <w:pPr>
        <w:jc w:val="both"/>
        <w:rPr>
          <w:color w:val="000000" w:themeColor="text1"/>
        </w:rPr>
      </w:pPr>
    </w:p>
    <w:p w14:paraId="24258953" w14:textId="3323601F" w:rsidR="00525463" w:rsidRPr="0075252F" w:rsidRDefault="00167C43" w:rsidP="00FD0998">
      <w:pPr>
        <w:jc w:val="both"/>
        <w:rPr>
          <w:color w:val="000000" w:themeColor="text1"/>
        </w:rPr>
      </w:pPr>
      <w:r w:rsidRPr="0075252F">
        <w:rPr>
          <w:color w:val="000000" w:themeColor="text1"/>
        </w:rPr>
        <w:t>TUMOR NECROSIS FACTOR</w:t>
      </w:r>
      <w:r w:rsidRPr="0075252F">
        <w:rPr>
          <w:color w:val="000000" w:themeColor="text1"/>
          <w:sz w:val="22"/>
          <w:szCs w:val="22"/>
        </w:rPr>
        <w:t xml:space="preserve"> </w:t>
      </w:r>
      <w:r w:rsidRPr="0075252F">
        <w:rPr>
          <w:color w:val="000000" w:themeColor="text1"/>
        </w:rPr>
        <w:t>(</w:t>
      </w:r>
      <w:r w:rsidR="00525463" w:rsidRPr="0075252F">
        <w:rPr>
          <w:color w:val="000000" w:themeColor="text1"/>
        </w:rPr>
        <w:t>TNF</w:t>
      </w:r>
      <w:r w:rsidRPr="0075252F">
        <w:rPr>
          <w:color w:val="000000" w:themeColor="text1"/>
        </w:rPr>
        <w:t>)</w:t>
      </w:r>
    </w:p>
    <w:p w14:paraId="28FBE5D0" w14:textId="1D484901"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 xml:space="preserve">TNF </w:t>
      </w:r>
      <w:r w:rsidR="002F11C7" w:rsidRPr="0075252F">
        <w:rPr>
          <w:color w:val="000000" w:themeColor="text1"/>
        </w:rPr>
        <w:t xml:space="preserve">(Hs99999043_m1)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77C35B1B" w14:textId="1C8B1F36" w:rsidR="00525463" w:rsidRPr="0075252F" w:rsidRDefault="00525463" w:rsidP="00FD0998">
      <w:pPr>
        <w:jc w:val="both"/>
        <w:rPr>
          <w:color w:val="000000" w:themeColor="text1"/>
        </w:rPr>
      </w:pPr>
    </w:p>
    <w:p w14:paraId="20390C99" w14:textId="7E246A5A" w:rsidR="00525463" w:rsidRPr="0075252F" w:rsidRDefault="003D540B" w:rsidP="00FD0998">
      <w:pPr>
        <w:jc w:val="both"/>
        <w:rPr>
          <w:color w:val="000000" w:themeColor="text1"/>
        </w:rPr>
      </w:pPr>
      <w:r w:rsidRPr="0075252F">
        <w:rPr>
          <w:color w:val="000000" w:themeColor="text1"/>
        </w:rPr>
        <w:t>UNCOUPLING PROTEIN 2 (</w:t>
      </w:r>
      <w:r w:rsidR="00525463" w:rsidRPr="0075252F">
        <w:rPr>
          <w:color w:val="000000" w:themeColor="text1"/>
        </w:rPr>
        <w:t>UCP2</w:t>
      </w:r>
      <w:r w:rsidRPr="0075252F">
        <w:rPr>
          <w:color w:val="000000" w:themeColor="text1"/>
        </w:rPr>
        <w:t>)</w:t>
      </w:r>
    </w:p>
    <w:p w14:paraId="62AC2637" w14:textId="14B75C6F" w:rsidR="00ED3F03" w:rsidRPr="0075252F" w:rsidRDefault="00ED3F03" w:rsidP="00ED3F03">
      <w:pPr>
        <w:jc w:val="both"/>
        <w:rPr>
          <w:color w:val="000000" w:themeColor="text1"/>
        </w:rPr>
      </w:pPr>
      <w:r w:rsidRPr="0075252F">
        <w:rPr>
          <w:color w:val="000000" w:themeColor="text1"/>
        </w:rPr>
        <w:t xml:space="preserve">Subcutaneous </w:t>
      </w:r>
      <w:r w:rsidR="00B50F2A" w:rsidRPr="0075252F">
        <w:rPr>
          <w:color w:val="000000" w:themeColor="text1"/>
        </w:rPr>
        <w:t>UCP2</w:t>
      </w:r>
      <w:r w:rsidR="00717167" w:rsidRPr="0075252F">
        <w:rPr>
          <w:color w:val="000000" w:themeColor="text1"/>
        </w:rPr>
        <w:t xml:space="preserve"> (Hs01075227_m1)</w:t>
      </w:r>
      <w:r w:rsidR="00B50F2A" w:rsidRPr="0075252F">
        <w:rPr>
          <w:color w:val="000000" w:themeColor="text1"/>
        </w:rPr>
        <w:t xml:space="preserve"> </w:t>
      </w:r>
      <w:r w:rsidRPr="0075252F">
        <w:rPr>
          <w:color w:val="000000" w:themeColor="text1"/>
        </w:rPr>
        <w:t xml:space="preserve">were assayed using Applied Biosystems, run on a real-time PCR system (7900HT, Applied Biosystems). Subcutaneous adipose tissue biopsies were not available for 18 participants. </w:t>
      </w:r>
    </w:p>
    <w:p w14:paraId="1C789BBA" w14:textId="77777777" w:rsidR="006A1681" w:rsidRPr="0075252F" w:rsidRDefault="006A1681" w:rsidP="00FD0998">
      <w:pPr>
        <w:jc w:val="both"/>
        <w:rPr>
          <w:color w:val="000000" w:themeColor="text1"/>
        </w:rPr>
      </w:pPr>
    </w:p>
    <w:p w14:paraId="09C72C23" w14:textId="77777777" w:rsidR="006A1681" w:rsidRPr="0075252F" w:rsidRDefault="006A1681" w:rsidP="00FD0998">
      <w:pPr>
        <w:jc w:val="both"/>
        <w:rPr>
          <w:color w:val="000000" w:themeColor="text1"/>
        </w:rPr>
      </w:pPr>
    </w:p>
    <w:p w14:paraId="27FDD87E" w14:textId="77777777" w:rsidR="006A1681" w:rsidRPr="0075252F" w:rsidRDefault="006A1681" w:rsidP="00FD0998">
      <w:pPr>
        <w:jc w:val="both"/>
        <w:rPr>
          <w:color w:val="000000" w:themeColor="text1"/>
        </w:rPr>
      </w:pPr>
    </w:p>
    <w:p w14:paraId="1D881582" w14:textId="77777777" w:rsidR="006A1681" w:rsidRDefault="006A1681" w:rsidP="00FD0998">
      <w:pPr>
        <w:jc w:val="both"/>
      </w:pPr>
    </w:p>
    <w:p w14:paraId="12E89152" w14:textId="77777777" w:rsidR="006A1681" w:rsidRDefault="006A1681" w:rsidP="00FD0998">
      <w:pPr>
        <w:jc w:val="both"/>
      </w:pPr>
    </w:p>
    <w:p w14:paraId="62575045" w14:textId="77777777" w:rsidR="006A1681" w:rsidRDefault="006A1681" w:rsidP="00FD0998">
      <w:pPr>
        <w:jc w:val="both"/>
      </w:pPr>
    </w:p>
    <w:p w14:paraId="45619C04" w14:textId="77777777" w:rsidR="006A1681" w:rsidRDefault="006A1681" w:rsidP="00FD0998">
      <w:pPr>
        <w:jc w:val="both"/>
      </w:pPr>
    </w:p>
    <w:p w14:paraId="5B131AF8" w14:textId="77777777" w:rsidR="006A1681" w:rsidRDefault="006A1681" w:rsidP="00FD0998">
      <w:pPr>
        <w:jc w:val="both"/>
      </w:pPr>
    </w:p>
    <w:p w14:paraId="6DEA81DE" w14:textId="77777777" w:rsidR="006A1681" w:rsidRDefault="006A1681" w:rsidP="00FD0998">
      <w:pPr>
        <w:jc w:val="both"/>
      </w:pPr>
    </w:p>
    <w:p w14:paraId="06C6B611" w14:textId="77777777" w:rsidR="006A1681" w:rsidRDefault="006A1681" w:rsidP="00FD0998">
      <w:pPr>
        <w:jc w:val="both"/>
      </w:pPr>
    </w:p>
    <w:p w14:paraId="031F04D6" w14:textId="77777777" w:rsidR="006A1681" w:rsidRDefault="006A1681" w:rsidP="00FD0998">
      <w:pPr>
        <w:jc w:val="both"/>
      </w:pPr>
    </w:p>
    <w:p w14:paraId="74411263" w14:textId="77777777" w:rsidR="006A1681" w:rsidRDefault="006A1681" w:rsidP="00FD0998">
      <w:pPr>
        <w:jc w:val="both"/>
      </w:pPr>
    </w:p>
    <w:p w14:paraId="53ABB682" w14:textId="77777777" w:rsidR="006A1681" w:rsidRDefault="006A1681" w:rsidP="00FD0998">
      <w:pPr>
        <w:jc w:val="both"/>
      </w:pPr>
    </w:p>
    <w:p w14:paraId="0403A032" w14:textId="77777777" w:rsidR="006A1681" w:rsidRDefault="006A1681" w:rsidP="00FD0998">
      <w:pPr>
        <w:jc w:val="both"/>
      </w:pPr>
    </w:p>
    <w:p w14:paraId="2571C9FA" w14:textId="77777777" w:rsidR="006A1681" w:rsidRDefault="006A1681" w:rsidP="00FD0998">
      <w:pPr>
        <w:jc w:val="both"/>
      </w:pPr>
    </w:p>
    <w:p w14:paraId="4DF000C8" w14:textId="77777777" w:rsidR="006A1681" w:rsidRDefault="006A1681" w:rsidP="00FD0998">
      <w:pPr>
        <w:jc w:val="both"/>
      </w:pPr>
    </w:p>
    <w:p w14:paraId="34E5B3D9" w14:textId="77777777" w:rsidR="006A1681" w:rsidRDefault="006A1681" w:rsidP="00FD0998">
      <w:pPr>
        <w:jc w:val="both"/>
      </w:pPr>
    </w:p>
    <w:p w14:paraId="6EA6336A" w14:textId="77777777" w:rsidR="00C46565" w:rsidRDefault="00C46565" w:rsidP="00FD0998">
      <w:pPr>
        <w:jc w:val="both"/>
      </w:pPr>
    </w:p>
    <w:p w14:paraId="488BAEA4" w14:textId="0E8D0182" w:rsidR="00CC308B" w:rsidRDefault="00CC308B" w:rsidP="00FD0998">
      <w:pPr>
        <w:jc w:val="both"/>
      </w:pPr>
    </w:p>
    <w:sectPr w:rsidR="00CC308B">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667A" w16cex:dateUtc="2021-01-25T15:47:00Z"/>
  <w16cex:commentExtensible w16cex:durableId="23B93DD5" w16cex:dateUtc="2021-01-25T12:53:00Z"/>
  <w16cex:commentExtensible w16cex:durableId="23B94081" w16cex:dateUtc="2021-01-25T13:05:00Z"/>
  <w16cex:commentExtensible w16cex:durableId="23B93DF0" w16cex:dateUtc="2021-01-25T12:54:00Z"/>
  <w16cex:commentExtensible w16cex:durableId="23B3D577" w16cex:dateUtc="2021-01-21T10:27:00Z"/>
  <w16cex:commentExtensible w16cex:durableId="23B966B5" w16cex:dateUtc="2021-01-25T15:48:00Z"/>
  <w16cex:commentExtensible w16cex:durableId="23B5759A" w16cex:dateUtc="2021-01-22T16:02:00Z"/>
  <w16cex:commentExtensible w16cex:durableId="23B4139B" w16cex:dateUtc="2021-01-21T14:52:00Z"/>
  <w16cex:commentExtensible w16cex:durableId="23B9214F" w16cex:dateUtc="2021-01-25T10:51:00Z"/>
  <w16cex:commentExtensible w16cex:durableId="23B41180" w16cex:dateUtc="2021-01-21T14:43:00Z"/>
  <w16cex:commentExtensible w16cex:durableId="23B576E6" w16cex:dateUtc="2021-01-22T16:08:00Z"/>
  <w16cex:commentExtensible w16cex:durableId="23B57727" w16cex:dateUtc="2021-01-22T16:09:00Z"/>
  <w16cex:commentExtensible w16cex:durableId="23B5774E" w16cex:dateUtc="2021-01-22T16:09:00Z"/>
  <w16cex:commentExtensible w16cex:durableId="23B9679D" w16cex:dateUtc="2021-01-25T15:51:00Z"/>
  <w16cex:commentExtensible w16cex:durableId="23B93C8E" w16cex:dateUtc="2021-01-25T12: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3007" w14:textId="77777777" w:rsidR="00B050D4" w:rsidRDefault="00B050D4" w:rsidP="001F21EC">
      <w:r>
        <w:separator/>
      </w:r>
    </w:p>
  </w:endnote>
  <w:endnote w:type="continuationSeparator" w:id="0">
    <w:p w14:paraId="1E26BE2F" w14:textId="77777777" w:rsidR="00B050D4" w:rsidRDefault="00B050D4" w:rsidP="001F21EC">
      <w:r>
        <w:continuationSeparator/>
      </w:r>
    </w:p>
  </w:endnote>
  <w:endnote w:type="continuationNotice" w:id="1">
    <w:p w14:paraId="6C019B0D" w14:textId="77777777" w:rsidR="00B050D4" w:rsidRDefault="00B05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3C10B" w14:textId="77777777" w:rsidR="00B050D4" w:rsidRDefault="00B050D4" w:rsidP="001F21EC">
      <w:r>
        <w:separator/>
      </w:r>
    </w:p>
  </w:footnote>
  <w:footnote w:type="continuationSeparator" w:id="0">
    <w:p w14:paraId="13265B84" w14:textId="77777777" w:rsidR="00B050D4" w:rsidRDefault="00B050D4" w:rsidP="001F21EC">
      <w:r>
        <w:continuationSeparator/>
      </w:r>
    </w:p>
  </w:footnote>
  <w:footnote w:type="continuationNotice" w:id="1">
    <w:p w14:paraId="0B07A6A4" w14:textId="77777777" w:rsidR="00B050D4" w:rsidRDefault="00B050D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5"/>
    <w:rsid w:val="000000ED"/>
    <w:rsid w:val="00005910"/>
    <w:rsid w:val="00030E41"/>
    <w:rsid w:val="000352AF"/>
    <w:rsid w:val="00044041"/>
    <w:rsid w:val="00051E0D"/>
    <w:rsid w:val="00060043"/>
    <w:rsid w:val="00067E23"/>
    <w:rsid w:val="00072197"/>
    <w:rsid w:val="00073022"/>
    <w:rsid w:val="000852AF"/>
    <w:rsid w:val="00090987"/>
    <w:rsid w:val="000963F7"/>
    <w:rsid w:val="000A1084"/>
    <w:rsid w:val="000A4C8E"/>
    <w:rsid w:val="000B4CA5"/>
    <w:rsid w:val="000B6C69"/>
    <w:rsid w:val="000C1299"/>
    <w:rsid w:val="000C280E"/>
    <w:rsid w:val="000C575A"/>
    <w:rsid w:val="000D1C3B"/>
    <w:rsid w:val="000D57F0"/>
    <w:rsid w:val="000E00BE"/>
    <w:rsid w:val="000E1362"/>
    <w:rsid w:val="000E2305"/>
    <w:rsid w:val="000E7DC8"/>
    <w:rsid w:val="000F2019"/>
    <w:rsid w:val="000F4623"/>
    <w:rsid w:val="00105D82"/>
    <w:rsid w:val="001074E5"/>
    <w:rsid w:val="00107E68"/>
    <w:rsid w:val="0011367C"/>
    <w:rsid w:val="001161E0"/>
    <w:rsid w:val="00132836"/>
    <w:rsid w:val="00140057"/>
    <w:rsid w:val="00144FB3"/>
    <w:rsid w:val="0014734E"/>
    <w:rsid w:val="00150242"/>
    <w:rsid w:val="0015099D"/>
    <w:rsid w:val="00153925"/>
    <w:rsid w:val="001618B7"/>
    <w:rsid w:val="001632DC"/>
    <w:rsid w:val="00164922"/>
    <w:rsid w:val="00167C43"/>
    <w:rsid w:val="00177CB8"/>
    <w:rsid w:val="001A6DF0"/>
    <w:rsid w:val="001A7FF5"/>
    <w:rsid w:val="001B5050"/>
    <w:rsid w:val="001B5B04"/>
    <w:rsid w:val="001B6AF2"/>
    <w:rsid w:val="001C11AE"/>
    <w:rsid w:val="001C3CE8"/>
    <w:rsid w:val="001C6218"/>
    <w:rsid w:val="001C668E"/>
    <w:rsid w:val="001C7C8A"/>
    <w:rsid w:val="001D6D5D"/>
    <w:rsid w:val="001F12BC"/>
    <w:rsid w:val="001F21EC"/>
    <w:rsid w:val="00212365"/>
    <w:rsid w:val="0021725E"/>
    <w:rsid w:val="002216A3"/>
    <w:rsid w:val="002268DE"/>
    <w:rsid w:val="002272D1"/>
    <w:rsid w:val="0023464D"/>
    <w:rsid w:val="00240FF5"/>
    <w:rsid w:val="002419F2"/>
    <w:rsid w:val="00243748"/>
    <w:rsid w:val="00251A2E"/>
    <w:rsid w:val="00257B9A"/>
    <w:rsid w:val="002601A1"/>
    <w:rsid w:val="002606A3"/>
    <w:rsid w:val="0026201D"/>
    <w:rsid w:val="00274023"/>
    <w:rsid w:val="002820DA"/>
    <w:rsid w:val="002824BB"/>
    <w:rsid w:val="0028331E"/>
    <w:rsid w:val="00295498"/>
    <w:rsid w:val="002A1BEF"/>
    <w:rsid w:val="002A633C"/>
    <w:rsid w:val="002A6A00"/>
    <w:rsid w:val="002A7DA3"/>
    <w:rsid w:val="002B0036"/>
    <w:rsid w:val="002B50F3"/>
    <w:rsid w:val="002D225B"/>
    <w:rsid w:val="002D30DD"/>
    <w:rsid w:val="002E0063"/>
    <w:rsid w:val="002E49B2"/>
    <w:rsid w:val="002E67EB"/>
    <w:rsid w:val="002E7767"/>
    <w:rsid w:val="002F0A69"/>
    <w:rsid w:val="002F11C7"/>
    <w:rsid w:val="002F4BD0"/>
    <w:rsid w:val="002F5D8B"/>
    <w:rsid w:val="002F7659"/>
    <w:rsid w:val="00315498"/>
    <w:rsid w:val="00320263"/>
    <w:rsid w:val="003227A2"/>
    <w:rsid w:val="00323E7F"/>
    <w:rsid w:val="0033209D"/>
    <w:rsid w:val="00346821"/>
    <w:rsid w:val="003478B2"/>
    <w:rsid w:val="00353365"/>
    <w:rsid w:val="003659BD"/>
    <w:rsid w:val="00366858"/>
    <w:rsid w:val="00366CE7"/>
    <w:rsid w:val="00372ABE"/>
    <w:rsid w:val="00375490"/>
    <w:rsid w:val="00384721"/>
    <w:rsid w:val="00387BB6"/>
    <w:rsid w:val="00395BB8"/>
    <w:rsid w:val="003B468F"/>
    <w:rsid w:val="003B503C"/>
    <w:rsid w:val="003B62FB"/>
    <w:rsid w:val="003C1DE7"/>
    <w:rsid w:val="003C24DE"/>
    <w:rsid w:val="003C3D01"/>
    <w:rsid w:val="003C4D93"/>
    <w:rsid w:val="003C4FBD"/>
    <w:rsid w:val="003D22EF"/>
    <w:rsid w:val="003D540B"/>
    <w:rsid w:val="003D56A3"/>
    <w:rsid w:val="003D5D62"/>
    <w:rsid w:val="003F2C45"/>
    <w:rsid w:val="003F3A90"/>
    <w:rsid w:val="004128CA"/>
    <w:rsid w:val="00425207"/>
    <w:rsid w:val="00426412"/>
    <w:rsid w:val="004267D4"/>
    <w:rsid w:val="00434C9D"/>
    <w:rsid w:val="0044486E"/>
    <w:rsid w:val="00445B7B"/>
    <w:rsid w:val="00446211"/>
    <w:rsid w:val="00446EC8"/>
    <w:rsid w:val="0045376B"/>
    <w:rsid w:val="004550CF"/>
    <w:rsid w:val="00456D20"/>
    <w:rsid w:val="00462E54"/>
    <w:rsid w:val="00485927"/>
    <w:rsid w:val="004870A3"/>
    <w:rsid w:val="00487439"/>
    <w:rsid w:val="004919E1"/>
    <w:rsid w:val="004938F8"/>
    <w:rsid w:val="004958C2"/>
    <w:rsid w:val="004A7961"/>
    <w:rsid w:val="004B05FB"/>
    <w:rsid w:val="004B5758"/>
    <w:rsid w:val="004B60F9"/>
    <w:rsid w:val="004C0526"/>
    <w:rsid w:val="004C439B"/>
    <w:rsid w:val="004E27E6"/>
    <w:rsid w:val="004E42FA"/>
    <w:rsid w:val="004E513C"/>
    <w:rsid w:val="004F5EED"/>
    <w:rsid w:val="004F66CD"/>
    <w:rsid w:val="004F697F"/>
    <w:rsid w:val="00501B5E"/>
    <w:rsid w:val="00501DFC"/>
    <w:rsid w:val="00505B97"/>
    <w:rsid w:val="00512E3D"/>
    <w:rsid w:val="00525463"/>
    <w:rsid w:val="005307D2"/>
    <w:rsid w:val="00537584"/>
    <w:rsid w:val="00540976"/>
    <w:rsid w:val="00543457"/>
    <w:rsid w:val="005436AB"/>
    <w:rsid w:val="005441E6"/>
    <w:rsid w:val="005529D6"/>
    <w:rsid w:val="005544F6"/>
    <w:rsid w:val="005568CD"/>
    <w:rsid w:val="005605E2"/>
    <w:rsid w:val="0056406C"/>
    <w:rsid w:val="00565388"/>
    <w:rsid w:val="00571FE5"/>
    <w:rsid w:val="00574276"/>
    <w:rsid w:val="00577F52"/>
    <w:rsid w:val="005838D9"/>
    <w:rsid w:val="00584884"/>
    <w:rsid w:val="00584A5B"/>
    <w:rsid w:val="00585B75"/>
    <w:rsid w:val="00586051"/>
    <w:rsid w:val="00590BAF"/>
    <w:rsid w:val="00595346"/>
    <w:rsid w:val="005A585D"/>
    <w:rsid w:val="005A5C98"/>
    <w:rsid w:val="005A7209"/>
    <w:rsid w:val="005B02DE"/>
    <w:rsid w:val="005B07C4"/>
    <w:rsid w:val="005B6EDF"/>
    <w:rsid w:val="005B7406"/>
    <w:rsid w:val="005C02C8"/>
    <w:rsid w:val="005D14BC"/>
    <w:rsid w:val="005D42F8"/>
    <w:rsid w:val="005E1956"/>
    <w:rsid w:val="005E3BE7"/>
    <w:rsid w:val="005E6377"/>
    <w:rsid w:val="005F342E"/>
    <w:rsid w:val="005F5F40"/>
    <w:rsid w:val="005F71FF"/>
    <w:rsid w:val="00604CDC"/>
    <w:rsid w:val="006257B7"/>
    <w:rsid w:val="006304D0"/>
    <w:rsid w:val="00631B96"/>
    <w:rsid w:val="006336D7"/>
    <w:rsid w:val="00633B7C"/>
    <w:rsid w:val="00634099"/>
    <w:rsid w:val="00634A5B"/>
    <w:rsid w:val="00642071"/>
    <w:rsid w:val="006438E9"/>
    <w:rsid w:val="00650F69"/>
    <w:rsid w:val="00656E1D"/>
    <w:rsid w:val="00660AA5"/>
    <w:rsid w:val="006727A1"/>
    <w:rsid w:val="00676C82"/>
    <w:rsid w:val="0068369C"/>
    <w:rsid w:val="00684043"/>
    <w:rsid w:val="006A1681"/>
    <w:rsid w:val="006A3FAA"/>
    <w:rsid w:val="006B25F6"/>
    <w:rsid w:val="006B3962"/>
    <w:rsid w:val="006B45A3"/>
    <w:rsid w:val="006C14BE"/>
    <w:rsid w:val="006C28E9"/>
    <w:rsid w:val="006D1B9E"/>
    <w:rsid w:val="006D6350"/>
    <w:rsid w:val="006E0643"/>
    <w:rsid w:val="006E1010"/>
    <w:rsid w:val="006E2CC7"/>
    <w:rsid w:val="006E6885"/>
    <w:rsid w:val="00703D65"/>
    <w:rsid w:val="00704FA4"/>
    <w:rsid w:val="00705B26"/>
    <w:rsid w:val="00707E14"/>
    <w:rsid w:val="00714FE6"/>
    <w:rsid w:val="00717167"/>
    <w:rsid w:val="00717CD1"/>
    <w:rsid w:val="007306C2"/>
    <w:rsid w:val="00730B75"/>
    <w:rsid w:val="007334AB"/>
    <w:rsid w:val="00734309"/>
    <w:rsid w:val="00736972"/>
    <w:rsid w:val="00750049"/>
    <w:rsid w:val="0075252F"/>
    <w:rsid w:val="0076280E"/>
    <w:rsid w:val="0077399B"/>
    <w:rsid w:val="00774882"/>
    <w:rsid w:val="00782C81"/>
    <w:rsid w:val="007870C0"/>
    <w:rsid w:val="0079290D"/>
    <w:rsid w:val="007A4480"/>
    <w:rsid w:val="007B076B"/>
    <w:rsid w:val="007B794A"/>
    <w:rsid w:val="007C5CA2"/>
    <w:rsid w:val="007C7570"/>
    <w:rsid w:val="007D3CDA"/>
    <w:rsid w:val="007F6648"/>
    <w:rsid w:val="0080410B"/>
    <w:rsid w:val="00811C7F"/>
    <w:rsid w:val="00815796"/>
    <w:rsid w:val="0082498E"/>
    <w:rsid w:val="008302F1"/>
    <w:rsid w:val="0083046A"/>
    <w:rsid w:val="00830CC8"/>
    <w:rsid w:val="00832854"/>
    <w:rsid w:val="008345DE"/>
    <w:rsid w:val="00845203"/>
    <w:rsid w:val="0085046D"/>
    <w:rsid w:val="00863963"/>
    <w:rsid w:val="008651A5"/>
    <w:rsid w:val="00866303"/>
    <w:rsid w:val="008717F5"/>
    <w:rsid w:val="00871B22"/>
    <w:rsid w:val="00872530"/>
    <w:rsid w:val="00883C36"/>
    <w:rsid w:val="00890E3F"/>
    <w:rsid w:val="00893062"/>
    <w:rsid w:val="008951DD"/>
    <w:rsid w:val="008976DE"/>
    <w:rsid w:val="008A18C0"/>
    <w:rsid w:val="008B1A46"/>
    <w:rsid w:val="008C0074"/>
    <w:rsid w:val="008C0ADC"/>
    <w:rsid w:val="008C31B8"/>
    <w:rsid w:val="008C4600"/>
    <w:rsid w:val="008D2BC1"/>
    <w:rsid w:val="008D6E9E"/>
    <w:rsid w:val="008E724D"/>
    <w:rsid w:val="008E7891"/>
    <w:rsid w:val="008F0C0A"/>
    <w:rsid w:val="008F2C1D"/>
    <w:rsid w:val="008F3445"/>
    <w:rsid w:val="008F7726"/>
    <w:rsid w:val="00904AE5"/>
    <w:rsid w:val="00906AC3"/>
    <w:rsid w:val="00907FB5"/>
    <w:rsid w:val="00914061"/>
    <w:rsid w:val="009173D1"/>
    <w:rsid w:val="0093005E"/>
    <w:rsid w:val="009309E5"/>
    <w:rsid w:val="00931AEF"/>
    <w:rsid w:val="009339EF"/>
    <w:rsid w:val="009365DA"/>
    <w:rsid w:val="00942B5B"/>
    <w:rsid w:val="00944D19"/>
    <w:rsid w:val="009503AA"/>
    <w:rsid w:val="009604DA"/>
    <w:rsid w:val="0097351E"/>
    <w:rsid w:val="00973A83"/>
    <w:rsid w:val="00976685"/>
    <w:rsid w:val="00977BE4"/>
    <w:rsid w:val="00977C7A"/>
    <w:rsid w:val="009815CB"/>
    <w:rsid w:val="00981617"/>
    <w:rsid w:val="00984279"/>
    <w:rsid w:val="009961FF"/>
    <w:rsid w:val="009A1376"/>
    <w:rsid w:val="009A55FA"/>
    <w:rsid w:val="009C0F5B"/>
    <w:rsid w:val="009C1451"/>
    <w:rsid w:val="009C28EE"/>
    <w:rsid w:val="009C54F9"/>
    <w:rsid w:val="009C687C"/>
    <w:rsid w:val="009D209A"/>
    <w:rsid w:val="009D58F2"/>
    <w:rsid w:val="009D6E41"/>
    <w:rsid w:val="009E2EE1"/>
    <w:rsid w:val="009E777B"/>
    <w:rsid w:val="009F00CE"/>
    <w:rsid w:val="009F1D1B"/>
    <w:rsid w:val="009F433C"/>
    <w:rsid w:val="009F6750"/>
    <w:rsid w:val="00A06E4D"/>
    <w:rsid w:val="00A075E2"/>
    <w:rsid w:val="00A07B82"/>
    <w:rsid w:val="00A11105"/>
    <w:rsid w:val="00A26C01"/>
    <w:rsid w:val="00A2738B"/>
    <w:rsid w:val="00A45201"/>
    <w:rsid w:val="00A46A9C"/>
    <w:rsid w:val="00A551C1"/>
    <w:rsid w:val="00A61D6C"/>
    <w:rsid w:val="00A70674"/>
    <w:rsid w:val="00A731BD"/>
    <w:rsid w:val="00A776F3"/>
    <w:rsid w:val="00A77BD3"/>
    <w:rsid w:val="00A81F04"/>
    <w:rsid w:val="00A83BC5"/>
    <w:rsid w:val="00A9490A"/>
    <w:rsid w:val="00AB0527"/>
    <w:rsid w:val="00AB05B6"/>
    <w:rsid w:val="00AC0E78"/>
    <w:rsid w:val="00AC14CE"/>
    <w:rsid w:val="00AC314E"/>
    <w:rsid w:val="00AC31BA"/>
    <w:rsid w:val="00AC6822"/>
    <w:rsid w:val="00AC74DC"/>
    <w:rsid w:val="00AF5FCD"/>
    <w:rsid w:val="00B009B9"/>
    <w:rsid w:val="00B050D4"/>
    <w:rsid w:val="00B14EC5"/>
    <w:rsid w:val="00B15A92"/>
    <w:rsid w:val="00B20D82"/>
    <w:rsid w:val="00B23771"/>
    <w:rsid w:val="00B23A0A"/>
    <w:rsid w:val="00B26727"/>
    <w:rsid w:val="00B40BD1"/>
    <w:rsid w:val="00B50F2A"/>
    <w:rsid w:val="00B65254"/>
    <w:rsid w:val="00B65F4A"/>
    <w:rsid w:val="00B67217"/>
    <w:rsid w:val="00B72837"/>
    <w:rsid w:val="00B72865"/>
    <w:rsid w:val="00B735D2"/>
    <w:rsid w:val="00B75F52"/>
    <w:rsid w:val="00B81D61"/>
    <w:rsid w:val="00B83591"/>
    <w:rsid w:val="00B906F3"/>
    <w:rsid w:val="00B93064"/>
    <w:rsid w:val="00BA6A5E"/>
    <w:rsid w:val="00BA6DDA"/>
    <w:rsid w:val="00BB1244"/>
    <w:rsid w:val="00BB1F4C"/>
    <w:rsid w:val="00BB6924"/>
    <w:rsid w:val="00BC73EC"/>
    <w:rsid w:val="00BD6F9D"/>
    <w:rsid w:val="00BD7D7E"/>
    <w:rsid w:val="00BE0C41"/>
    <w:rsid w:val="00BE57AF"/>
    <w:rsid w:val="00BE66B0"/>
    <w:rsid w:val="00BF4050"/>
    <w:rsid w:val="00C01794"/>
    <w:rsid w:val="00C12E51"/>
    <w:rsid w:val="00C14B25"/>
    <w:rsid w:val="00C344EB"/>
    <w:rsid w:val="00C43615"/>
    <w:rsid w:val="00C46565"/>
    <w:rsid w:val="00C5626D"/>
    <w:rsid w:val="00C56ADB"/>
    <w:rsid w:val="00C578A0"/>
    <w:rsid w:val="00C64365"/>
    <w:rsid w:val="00C77C6F"/>
    <w:rsid w:val="00C830CC"/>
    <w:rsid w:val="00C83371"/>
    <w:rsid w:val="00C8566C"/>
    <w:rsid w:val="00C9177F"/>
    <w:rsid w:val="00C93309"/>
    <w:rsid w:val="00C93491"/>
    <w:rsid w:val="00CA3B52"/>
    <w:rsid w:val="00CA53DE"/>
    <w:rsid w:val="00CC2F83"/>
    <w:rsid w:val="00CC308B"/>
    <w:rsid w:val="00CC327D"/>
    <w:rsid w:val="00CC351E"/>
    <w:rsid w:val="00CC704B"/>
    <w:rsid w:val="00CD67CD"/>
    <w:rsid w:val="00CD697F"/>
    <w:rsid w:val="00CE3920"/>
    <w:rsid w:val="00D02D21"/>
    <w:rsid w:val="00D0555F"/>
    <w:rsid w:val="00D07D97"/>
    <w:rsid w:val="00D11232"/>
    <w:rsid w:val="00D13415"/>
    <w:rsid w:val="00D166BA"/>
    <w:rsid w:val="00D212E5"/>
    <w:rsid w:val="00D241C1"/>
    <w:rsid w:val="00D2587D"/>
    <w:rsid w:val="00D25C8B"/>
    <w:rsid w:val="00D32400"/>
    <w:rsid w:val="00D32E15"/>
    <w:rsid w:val="00D3749F"/>
    <w:rsid w:val="00D37BF9"/>
    <w:rsid w:val="00D41774"/>
    <w:rsid w:val="00D513EA"/>
    <w:rsid w:val="00D533A5"/>
    <w:rsid w:val="00D67C28"/>
    <w:rsid w:val="00D718DC"/>
    <w:rsid w:val="00D86E41"/>
    <w:rsid w:val="00D90CA4"/>
    <w:rsid w:val="00D94706"/>
    <w:rsid w:val="00DA341A"/>
    <w:rsid w:val="00DA5397"/>
    <w:rsid w:val="00DB062B"/>
    <w:rsid w:val="00DB454F"/>
    <w:rsid w:val="00DB54C2"/>
    <w:rsid w:val="00DC0DC5"/>
    <w:rsid w:val="00DC2A9A"/>
    <w:rsid w:val="00DC67C0"/>
    <w:rsid w:val="00DC6EFC"/>
    <w:rsid w:val="00DD7FC4"/>
    <w:rsid w:val="00DE5748"/>
    <w:rsid w:val="00DE61AE"/>
    <w:rsid w:val="00DF721D"/>
    <w:rsid w:val="00E02EEA"/>
    <w:rsid w:val="00E12F2E"/>
    <w:rsid w:val="00E137B1"/>
    <w:rsid w:val="00E13F41"/>
    <w:rsid w:val="00E23E47"/>
    <w:rsid w:val="00E27DDF"/>
    <w:rsid w:val="00E31A37"/>
    <w:rsid w:val="00E440B5"/>
    <w:rsid w:val="00E44130"/>
    <w:rsid w:val="00E52B48"/>
    <w:rsid w:val="00E61400"/>
    <w:rsid w:val="00E638C1"/>
    <w:rsid w:val="00E64411"/>
    <w:rsid w:val="00E67BF2"/>
    <w:rsid w:val="00E75FA5"/>
    <w:rsid w:val="00E76387"/>
    <w:rsid w:val="00E82D43"/>
    <w:rsid w:val="00E83D48"/>
    <w:rsid w:val="00E840B7"/>
    <w:rsid w:val="00E86707"/>
    <w:rsid w:val="00E9067C"/>
    <w:rsid w:val="00EB1F24"/>
    <w:rsid w:val="00EB3B87"/>
    <w:rsid w:val="00EB4952"/>
    <w:rsid w:val="00EB4CFF"/>
    <w:rsid w:val="00EC393D"/>
    <w:rsid w:val="00EC461B"/>
    <w:rsid w:val="00EC65EC"/>
    <w:rsid w:val="00EC788C"/>
    <w:rsid w:val="00ED31B1"/>
    <w:rsid w:val="00ED3F03"/>
    <w:rsid w:val="00ED62E4"/>
    <w:rsid w:val="00ED660B"/>
    <w:rsid w:val="00ED6F0D"/>
    <w:rsid w:val="00EE3942"/>
    <w:rsid w:val="00EF05AC"/>
    <w:rsid w:val="00F032F3"/>
    <w:rsid w:val="00F05A68"/>
    <w:rsid w:val="00F06D5F"/>
    <w:rsid w:val="00F508A5"/>
    <w:rsid w:val="00F5108E"/>
    <w:rsid w:val="00F51A39"/>
    <w:rsid w:val="00F7358F"/>
    <w:rsid w:val="00F749D4"/>
    <w:rsid w:val="00F80BDC"/>
    <w:rsid w:val="00F81F9C"/>
    <w:rsid w:val="00F8495B"/>
    <w:rsid w:val="00F8755D"/>
    <w:rsid w:val="00F9042D"/>
    <w:rsid w:val="00F94053"/>
    <w:rsid w:val="00FA52B8"/>
    <w:rsid w:val="00FB2C5C"/>
    <w:rsid w:val="00FB67B7"/>
    <w:rsid w:val="00FB6FD3"/>
    <w:rsid w:val="00FC6EC5"/>
    <w:rsid w:val="00FD0998"/>
    <w:rsid w:val="00FD386F"/>
    <w:rsid w:val="00FD44A4"/>
    <w:rsid w:val="00FE0097"/>
    <w:rsid w:val="00FE53EE"/>
    <w:rsid w:val="00FF0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970F3"/>
  <w15:docId w15:val="{3BB0FD5E-066D-D24F-8969-2270AA48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 w:type="character" w:styleId="UnresolvedMention">
    <w:name w:val="Unresolved Mention"/>
    <w:basedOn w:val="DefaultParagraphFont"/>
    <w:uiPriority w:val="99"/>
    <w:semiHidden/>
    <w:unhideWhenUsed/>
    <w:rsid w:val="00B65254"/>
    <w:rPr>
      <w:color w:val="605E5C"/>
      <w:shd w:val="clear" w:color="auto" w:fill="E1DFDD"/>
    </w:rPr>
  </w:style>
  <w:style w:type="character" w:styleId="FollowedHyperlink">
    <w:name w:val="FollowedHyperlink"/>
    <w:basedOn w:val="DefaultParagraphFont"/>
    <w:semiHidden/>
    <w:unhideWhenUsed/>
    <w:rsid w:val="00B65254"/>
    <w:rPr>
      <w:color w:val="800080" w:themeColor="followedHyperlink"/>
      <w:u w:val="single"/>
    </w:rPr>
  </w:style>
  <w:style w:type="paragraph" w:styleId="CommentSubject">
    <w:name w:val="annotation subject"/>
    <w:basedOn w:val="CommentText"/>
    <w:next w:val="CommentText"/>
    <w:link w:val="CommentSubjectChar"/>
    <w:semiHidden/>
    <w:unhideWhenUsed/>
    <w:rsid w:val="0097351E"/>
    <w:rPr>
      <w:b/>
      <w:bCs/>
    </w:rPr>
  </w:style>
  <w:style w:type="character" w:customStyle="1" w:styleId="CommentSubjectChar">
    <w:name w:val="Comment Subject Char"/>
    <w:basedOn w:val="CommentTextChar"/>
    <w:link w:val="CommentSubject"/>
    <w:semiHidden/>
    <w:rsid w:val="0097351E"/>
    <w:rPr>
      <w:b/>
      <w:bCs/>
      <w:lang w:eastAsia="en-US"/>
    </w:rPr>
  </w:style>
  <w:style w:type="paragraph" w:styleId="Header">
    <w:name w:val="header"/>
    <w:basedOn w:val="Normal"/>
    <w:link w:val="HeaderChar"/>
    <w:unhideWhenUsed/>
    <w:rsid w:val="001F21EC"/>
    <w:pPr>
      <w:tabs>
        <w:tab w:val="center" w:pos="4513"/>
        <w:tab w:val="right" w:pos="9026"/>
      </w:tabs>
    </w:pPr>
  </w:style>
  <w:style w:type="character" w:customStyle="1" w:styleId="HeaderChar">
    <w:name w:val="Header Char"/>
    <w:basedOn w:val="DefaultParagraphFont"/>
    <w:link w:val="Header"/>
    <w:rsid w:val="001F21EC"/>
    <w:rPr>
      <w:sz w:val="24"/>
      <w:szCs w:val="24"/>
      <w:lang w:eastAsia="en-US"/>
    </w:rPr>
  </w:style>
  <w:style w:type="paragraph" w:styleId="Footer">
    <w:name w:val="footer"/>
    <w:basedOn w:val="Normal"/>
    <w:link w:val="FooterChar"/>
    <w:unhideWhenUsed/>
    <w:rsid w:val="001F21EC"/>
    <w:pPr>
      <w:tabs>
        <w:tab w:val="center" w:pos="4513"/>
        <w:tab w:val="right" w:pos="9026"/>
      </w:tabs>
    </w:pPr>
  </w:style>
  <w:style w:type="character" w:customStyle="1" w:styleId="FooterChar">
    <w:name w:val="Footer Char"/>
    <w:basedOn w:val="DefaultParagraphFont"/>
    <w:link w:val="Footer"/>
    <w:rsid w:val="001F21EC"/>
    <w:rPr>
      <w:sz w:val="24"/>
      <w:szCs w:val="24"/>
      <w:lang w:eastAsia="en-US"/>
    </w:rPr>
  </w:style>
  <w:style w:type="character" w:styleId="Strong">
    <w:name w:val="Strong"/>
    <w:basedOn w:val="DefaultParagraphFont"/>
    <w:uiPriority w:val="22"/>
    <w:qFormat/>
    <w:rsid w:val="00C93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1927">
      <w:bodyDiv w:val="1"/>
      <w:marLeft w:val="0"/>
      <w:marRight w:val="0"/>
      <w:marTop w:val="0"/>
      <w:marBottom w:val="0"/>
      <w:divBdr>
        <w:top w:val="none" w:sz="0" w:space="0" w:color="auto"/>
        <w:left w:val="none" w:sz="0" w:space="0" w:color="auto"/>
        <w:bottom w:val="none" w:sz="0" w:space="0" w:color="auto"/>
        <w:right w:val="none" w:sz="0" w:space="0" w:color="auto"/>
      </w:divBdr>
    </w:div>
    <w:div w:id="1488739835">
      <w:bodyDiv w:val="1"/>
      <w:marLeft w:val="0"/>
      <w:marRight w:val="0"/>
      <w:marTop w:val="0"/>
      <w:marBottom w:val="0"/>
      <w:divBdr>
        <w:top w:val="none" w:sz="0" w:space="0" w:color="auto"/>
        <w:left w:val="none" w:sz="0" w:space="0" w:color="auto"/>
        <w:bottom w:val="none" w:sz="0" w:space="0" w:color="auto"/>
        <w:right w:val="none" w:sz="0" w:space="0" w:color="auto"/>
      </w:divBdr>
    </w:div>
    <w:div w:id="1654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tu.ox.ac.uk/homacalculator/download.php" TargetMode="External"/><Relationship Id="rId3" Type="http://schemas.openxmlformats.org/officeDocument/2006/relationships/settings" Target="settings.xml"/><Relationship Id="rId7" Type="http://schemas.openxmlformats.org/officeDocument/2006/relationships/hyperlink" Target="http://www.clinicaltrial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C32E-FC26-9A43-8CCE-D622A0CB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3458</Words>
  <Characters>19716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Richardson</dc:creator>
  <cp:lastModifiedBy>Microsoft Office User</cp:lastModifiedBy>
  <cp:revision>2</cp:revision>
  <dcterms:created xsi:type="dcterms:W3CDTF">2021-02-21T23:25:00Z</dcterms:created>
  <dcterms:modified xsi:type="dcterms:W3CDTF">2021-02-21T23:25:00Z</dcterms:modified>
</cp:coreProperties>
</file>